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53" w:rsidRPr="005E1053" w:rsidRDefault="005E1053" w:rsidP="005E1053">
      <w:pPr>
        <w:jc w:val="center"/>
        <w:rPr>
          <w:rFonts w:ascii="Arial" w:hAnsi="Arial" w:cs="Arial"/>
          <w:b/>
        </w:rPr>
      </w:pPr>
      <w:r w:rsidRPr="005E1053">
        <w:rPr>
          <w:rFonts w:ascii="Arial" w:hAnsi="Arial" w:cs="Arial"/>
          <w:b/>
        </w:rPr>
        <w:t>Decent Homes Policy for 2018</w:t>
      </w:r>
    </w:p>
    <w:p w:rsidR="00F42216" w:rsidRDefault="005E1053" w:rsidP="005E1053">
      <w:pPr>
        <w:jc w:val="center"/>
        <w:rPr>
          <w:rFonts w:ascii="Arial" w:hAnsi="Arial" w:cs="Arial"/>
          <w:b/>
        </w:rPr>
      </w:pPr>
      <w:r w:rsidRPr="005E1053">
        <w:rPr>
          <w:rFonts w:ascii="Arial" w:hAnsi="Arial" w:cs="Arial"/>
          <w:b/>
        </w:rPr>
        <w:t>Proposed Changes being consulted on</w:t>
      </w:r>
    </w:p>
    <w:p w:rsidR="0007533C" w:rsidRDefault="0007533C" w:rsidP="005E1053">
      <w:pPr>
        <w:jc w:val="center"/>
        <w:rPr>
          <w:rFonts w:ascii="Arial" w:hAnsi="Arial" w:cs="Arial"/>
          <w:b/>
        </w:rPr>
      </w:pPr>
    </w:p>
    <w:p w:rsidR="0007533C" w:rsidRPr="00F96C37" w:rsidRDefault="0007533C" w:rsidP="00F96C37">
      <w:pPr>
        <w:rPr>
          <w:rFonts w:ascii="Arial" w:hAnsi="Arial" w:cs="Arial"/>
        </w:rPr>
      </w:pPr>
      <w:r w:rsidRPr="00F96C37">
        <w:rPr>
          <w:rFonts w:ascii="Arial" w:hAnsi="Arial" w:cs="Arial"/>
        </w:rPr>
        <w:t>The changes to the Policy are intended to encourage the use of Council Loans to improve people</w:t>
      </w:r>
      <w:r w:rsidR="00F96C37" w:rsidRPr="00F96C37">
        <w:rPr>
          <w:rFonts w:ascii="Arial" w:hAnsi="Arial" w:cs="Arial"/>
        </w:rPr>
        <w:t>’</w:t>
      </w:r>
      <w:r w:rsidRPr="00F96C37">
        <w:rPr>
          <w:rFonts w:ascii="Arial" w:hAnsi="Arial" w:cs="Arial"/>
        </w:rPr>
        <w:t>s homes</w:t>
      </w:r>
      <w:r w:rsidR="00F96C37" w:rsidRPr="00F96C37">
        <w:rPr>
          <w:rFonts w:ascii="Arial" w:hAnsi="Arial" w:cs="Arial"/>
        </w:rPr>
        <w:t xml:space="preserve">, making them safer and warmer </w:t>
      </w:r>
      <w:r w:rsidR="00221DB7" w:rsidRPr="00F96C37">
        <w:rPr>
          <w:rFonts w:ascii="Arial" w:hAnsi="Arial" w:cs="Arial"/>
        </w:rPr>
        <w:t>and</w:t>
      </w:r>
      <w:r w:rsidR="00F96C37" w:rsidRPr="00F96C37">
        <w:rPr>
          <w:rFonts w:ascii="Arial" w:hAnsi="Arial" w:cs="Arial"/>
        </w:rPr>
        <w:t xml:space="preserve"> helping to keep people out of hospital.  Also to support owners of Empty</w:t>
      </w:r>
      <w:r w:rsidR="00221DB7">
        <w:rPr>
          <w:rFonts w:ascii="Arial" w:hAnsi="Arial" w:cs="Arial"/>
        </w:rPr>
        <w:t xml:space="preserve"> Properties; helping to</w:t>
      </w:r>
      <w:r w:rsidR="00F96C37" w:rsidRPr="00F96C37">
        <w:rPr>
          <w:rFonts w:ascii="Arial" w:hAnsi="Arial" w:cs="Arial"/>
        </w:rPr>
        <w:t xml:space="preserve"> bring </w:t>
      </w:r>
      <w:r w:rsidR="00221DB7">
        <w:rPr>
          <w:rFonts w:ascii="Arial" w:hAnsi="Arial" w:cs="Arial"/>
        </w:rPr>
        <w:t xml:space="preserve">them </w:t>
      </w:r>
      <w:r w:rsidR="00F96C37" w:rsidRPr="00F96C37">
        <w:rPr>
          <w:rFonts w:ascii="Arial" w:hAnsi="Arial" w:cs="Arial"/>
        </w:rPr>
        <w:t xml:space="preserve">back </w:t>
      </w:r>
      <w:r w:rsidR="00221DB7">
        <w:rPr>
          <w:rFonts w:ascii="Arial" w:hAnsi="Arial" w:cs="Arial"/>
        </w:rPr>
        <w:t>i</w:t>
      </w:r>
      <w:r w:rsidR="00F96C37" w:rsidRPr="00F96C37">
        <w:rPr>
          <w:rFonts w:ascii="Arial" w:hAnsi="Arial" w:cs="Arial"/>
        </w:rPr>
        <w:t>n to use.</w:t>
      </w:r>
    </w:p>
    <w:p w:rsidR="003E25C5" w:rsidRDefault="003E25C5" w:rsidP="005E105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3619"/>
        <w:gridCol w:w="2296"/>
        <w:gridCol w:w="2124"/>
      </w:tblGrid>
      <w:tr w:rsidR="003E25C5" w:rsidTr="003E25C5">
        <w:tc>
          <w:tcPr>
            <w:tcW w:w="392" w:type="dxa"/>
          </w:tcPr>
          <w:p w:rsidR="003E25C5" w:rsidRDefault="003E25C5" w:rsidP="005E10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6" w:type="dxa"/>
          </w:tcPr>
          <w:p w:rsidR="003E25C5" w:rsidRDefault="003E25C5" w:rsidP="005E10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change to Policy</w:t>
            </w:r>
          </w:p>
        </w:tc>
        <w:tc>
          <w:tcPr>
            <w:tcW w:w="2316" w:type="dxa"/>
          </w:tcPr>
          <w:p w:rsidR="003E25C5" w:rsidRDefault="003E25C5" w:rsidP="005E10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Rationale for change</w:t>
            </w:r>
          </w:p>
        </w:tc>
        <w:tc>
          <w:tcPr>
            <w:tcW w:w="2138" w:type="dxa"/>
          </w:tcPr>
          <w:p w:rsidR="003E25C5" w:rsidRDefault="00D8473F" w:rsidP="005E10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sections of the </w:t>
            </w:r>
            <w:r w:rsidR="003E25C5">
              <w:rPr>
                <w:rFonts w:ascii="Arial" w:hAnsi="Arial" w:cs="Arial"/>
                <w:b/>
              </w:rPr>
              <w:t>Decent Homes Policy 2016</w:t>
            </w:r>
          </w:p>
        </w:tc>
      </w:tr>
      <w:tr w:rsidR="003E25C5" w:rsidTr="003E25C5">
        <w:tc>
          <w:tcPr>
            <w:tcW w:w="392" w:type="dxa"/>
          </w:tcPr>
          <w:p w:rsidR="003E25C5" w:rsidRDefault="003E25C5" w:rsidP="003E2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4C89">
              <w:rPr>
                <w:rFonts w:ascii="Arial" w:hAnsi="Arial" w:cs="Arial"/>
              </w:rPr>
              <w:t>a</w:t>
            </w:r>
          </w:p>
          <w:p w:rsidR="00974C89" w:rsidRDefault="00974C89" w:rsidP="003E25C5">
            <w:pPr>
              <w:rPr>
                <w:rFonts w:ascii="Arial" w:hAnsi="Arial" w:cs="Arial"/>
              </w:rPr>
            </w:pPr>
          </w:p>
          <w:p w:rsidR="00974C89" w:rsidRDefault="00974C89" w:rsidP="003E25C5">
            <w:pPr>
              <w:rPr>
                <w:rFonts w:ascii="Arial" w:hAnsi="Arial" w:cs="Arial"/>
              </w:rPr>
            </w:pPr>
          </w:p>
          <w:p w:rsidR="00974C89" w:rsidRDefault="00974C89" w:rsidP="003E25C5">
            <w:pPr>
              <w:rPr>
                <w:rFonts w:ascii="Arial" w:hAnsi="Arial" w:cs="Arial"/>
              </w:rPr>
            </w:pPr>
          </w:p>
          <w:p w:rsidR="00974C89" w:rsidRDefault="00974C89" w:rsidP="003E25C5">
            <w:pPr>
              <w:rPr>
                <w:rFonts w:ascii="Arial" w:hAnsi="Arial" w:cs="Arial"/>
              </w:rPr>
            </w:pPr>
          </w:p>
          <w:p w:rsidR="00974C89" w:rsidRDefault="00974C89" w:rsidP="003E25C5">
            <w:pPr>
              <w:rPr>
                <w:rFonts w:ascii="Arial" w:hAnsi="Arial" w:cs="Arial"/>
              </w:rPr>
            </w:pPr>
          </w:p>
          <w:p w:rsidR="00974C89" w:rsidRDefault="00974C89" w:rsidP="003E25C5">
            <w:pPr>
              <w:rPr>
                <w:rFonts w:ascii="Arial" w:hAnsi="Arial" w:cs="Arial"/>
              </w:rPr>
            </w:pPr>
          </w:p>
          <w:p w:rsidR="00974C89" w:rsidRDefault="00974C89" w:rsidP="003E2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3676" w:type="dxa"/>
          </w:tcPr>
          <w:p w:rsidR="003E25C5" w:rsidRDefault="003E25C5" w:rsidP="003E2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DFG applicants to apply for a Council Loan to pay for their contribution to the cost of works where they are eligible for a grant of more than £0 amount</w:t>
            </w:r>
          </w:p>
          <w:p w:rsidR="00974C89" w:rsidRDefault="00974C89" w:rsidP="003E25C5">
            <w:pPr>
              <w:rPr>
                <w:rFonts w:ascii="Arial" w:hAnsi="Arial" w:cs="Arial"/>
              </w:rPr>
            </w:pPr>
          </w:p>
          <w:p w:rsidR="00974C89" w:rsidRPr="003E25C5" w:rsidRDefault="00974C89" w:rsidP="003E2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Discretionary payment for costs incurred in making an application for a complex adaptation</w:t>
            </w:r>
          </w:p>
        </w:tc>
        <w:tc>
          <w:tcPr>
            <w:tcW w:w="2316" w:type="dxa"/>
          </w:tcPr>
          <w:p w:rsidR="003E25C5" w:rsidRDefault="003E25C5" w:rsidP="003E2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support for disabled people to help keep them safe and independent in their own homes.</w:t>
            </w:r>
          </w:p>
          <w:p w:rsidR="00974C89" w:rsidRDefault="00974C89" w:rsidP="003E25C5">
            <w:pPr>
              <w:rPr>
                <w:rFonts w:ascii="Arial" w:hAnsi="Arial" w:cs="Arial"/>
              </w:rPr>
            </w:pPr>
          </w:p>
          <w:p w:rsidR="00974C89" w:rsidRDefault="00974C89" w:rsidP="003E2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applicants becoming liable for application cost when DFG application is withdrawn.</w:t>
            </w:r>
          </w:p>
          <w:p w:rsidR="0007533C" w:rsidRPr="003E25C5" w:rsidRDefault="0007533C" w:rsidP="003E25C5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3E25C5" w:rsidRDefault="00D8473F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 1 – Disabled Facilities Grants</w:t>
            </w:r>
          </w:p>
          <w:p w:rsidR="002A3D01" w:rsidRDefault="002A3D01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</w:t>
            </w:r>
          </w:p>
          <w:p w:rsidR="002A3D01" w:rsidRDefault="002A3D01" w:rsidP="002A3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2 - Home Improvement Loans </w:t>
            </w:r>
          </w:p>
          <w:p w:rsidR="002A3D01" w:rsidRDefault="002A3D01" w:rsidP="005E1053">
            <w:pPr>
              <w:jc w:val="center"/>
              <w:rPr>
                <w:rFonts w:ascii="Arial" w:hAnsi="Arial" w:cs="Arial"/>
              </w:rPr>
            </w:pPr>
          </w:p>
          <w:p w:rsidR="00974C89" w:rsidRPr="003E25C5" w:rsidRDefault="00974C89" w:rsidP="005E105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E25C5" w:rsidTr="003E25C5">
        <w:tc>
          <w:tcPr>
            <w:tcW w:w="392" w:type="dxa"/>
          </w:tcPr>
          <w:p w:rsidR="003E25C5" w:rsidRPr="003E25C5" w:rsidRDefault="003E25C5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76" w:type="dxa"/>
          </w:tcPr>
          <w:p w:rsidR="003E25C5" w:rsidRDefault="003E25C5" w:rsidP="003E2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means testing for Urgent Repairs grants where works are to prevent applicants from an imminent hospital admission.</w:t>
            </w:r>
          </w:p>
          <w:p w:rsidR="006B261C" w:rsidRPr="003E25C5" w:rsidRDefault="006B261C" w:rsidP="003E25C5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3E25C5" w:rsidRPr="003E25C5" w:rsidRDefault="001C4162" w:rsidP="001C4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 hospital admissions</w:t>
            </w:r>
            <w:r w:rsidR="00240228">
              <w:rPr>
                <w:rFonts w:ascii="Arial" w:hAnsi="Arial" w:cs="Arial"/>
              </w:rPr>
              <w:t>.</w:t>
            </w:r>
          </w:p>
        </w:tc>
        <w:tc>
          <w:tcPr>
            <w:tcW w:w="2138" w:type="dxa"/>
          </w:tcPr>
          <w:p w:rsidR="003E25C5" w:rsidRPr="003E25C5" w:rsidRDefault="00D8473F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  - Urgent Repairs Grants</w:t>
            </w:r>
          </w:p>
        </w:tc>
      </w:tr>
      <w:tr w:rsidR="003E25C5" w:rsidTr="003E25C5">
        <w:tc>
          <w:tcPr>
            <w:tcW w:w="392" w:type="dxa"/>
          </w:tcPr>
          <w:p w:rsidR="003E25C5" w:rsidRPr="003E25C5" w:rsidRDefault="001C4162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76" w:type="dxa"/>
          </w:tcPr>
          <w:p w:rsidR="003E25C5" w:rsidRPr="003E25C5" w:rsidRDefault="001C4162" w:rsidP="001C4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clarity regard</w:t>
            </w:r>
            <w:r w:rsidR="0007533C">
              <w:rPr>
                <w:rFonts w:ascii="Arial" w:hAnsi="Arial" w:cs="Arial"/>
              </w:rPr>
              <w:t>ing the meaning of bringing an Empty P</w:t>
            </w:r>
            <w:r>
              <w:rPr>
                <w:rFonts w:ascii="Arial" w:hAnsi="Arial" w:cs="Arial"/>
              </w:rPr>
              <w:t>roperty</w:t>
            </w:r>
            <w:r w:rsidR="002A3D01">
              <w:rPr>
                <w:rFonts w:ascii="Arial" w:hAnsi="Arial" w:cs="Arial"/>
              </w:rPr>
              <w:t xml:space="preserve"> (EPs)</w:t>
            </w:r>
            <w:r>
              <w:rPr>
                <w:rFonts w:ascii="Arial" w:hAnsi="Arial" w:cs="Arial"/>
              </w:rPr>
              <w:t xml:space="preserve"> back in to “use”.</w:t>
            </w:r>
          </w:p>
        </w:tc>
        <w:tc>
          <w:tcPr>
            <w:tcW w:w="2316" w:type="dxa"/>
          </w:tcPr>
          <w:p w:rsidR="003E25C5" w:rsidRDefault="001C4162" w:rsidP="001C4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where funding made available to bring E</w:t>
            </w:r>
            <w:r w:rsidR="0007533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s back in to use Council funds are used in line with the Council’s values.</w:t>
            </w:r>
          </w:p>
          <w:p w:rsidR="006B261C" w:rsidRPr="003E25C5" w:rsidRDefault="006B261C" w:rsidP="001C4162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3E25C5" w:rsidRPr="003E25C5" w:rsidRDefault="00D8473F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 Empty Properties (Homes)</w:t>
            </w:r>
          </w:p>
        </w:tc>
      </w:tr>
      <w:tr w:rsidR="003E25C5" w:rsidTr="003E25C5">
        <w:tc>
          <w:tcPr>
            <w:tcW w:w="392" w:type="dxa"/>
          </w:tcPr>
          <w:p w:rsidR="003E25C5" w:rsidRPr="003E25C5" w:rsidRDefault="001C4162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76" w:type="dxa"/>
          </w:tcPr>
          <w:p w:rsidR="003E25C5" w:rsidRPr="003E25C5" w:rsidRDefault="001C4162" w:rsidP="001C4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 a 2 year deferment payment period </w:t>
            </w:r>
            <w:r w:rsidR="006B261C">
              <w:rPr>
                <w:rFonts w:ascii="Arial" w:hAnsi="Arial" w:cs="Arial"/>
              </w:rPr>
              <w:t>for the start of paying off an Empty Property Loan.  Interest on the loan would still accumulate</w:t>
            </w:r>
          </w:p>
        </w:tc>
        <w:tc>
          <w:tcPr>
            <w:tcW w:w="2316" w:type="dxa"/>
          </w:tcPr>
          <w:p w:rsidR="003E25C5" w:rsidRDefault="006B261C" w:rsidP="006B2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A3D01">
              <w:rPr>
                <w:rFonts w:ascii="Arial" w:hAnsi="Arial" w:cs="Arial"/>
              </w:rPr>
              <w:t xml:space="preserve">o encourage the uptake of Council </w:t>
            </w:r>
            <w:r>
              <w:rPr>
                <w:rFonts w:ascii="Arial" w:hAnsi="Arial" w:cs="Arial"/>
              </w:rPr>
              <w:t>loans and help owners bring properties back in to use.</w:t>
            </w:r>
          </w:p>
          <w:p w:rsidR="006B261C" w:rsidRPr="003E25C5" w:rsidRDefault="006B261C" w:rsidP="006B261C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3E25C5" w:rsidRPr="003E25C5" w:rsidRDefault="00D8473F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 Empty Properties (Homes)</w:t>
            </w:r>
          </w:p>
        </w:tc>
      </w:tr>
      <w:tr w:rsidR="003E25C5" w:rsidTr="003E25C5">
        <w:tc>
          <w:tcPr>
            <w:tcW w:w="392" w:type="dxa"/>
          </w:tcPr>
          <w:p w:rsidR="003E25C5" w:rsidRPr="003E25C5" w:rsidRDefault="006B261C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6" w:type="dxa"/>
          </w:tcPr>
          <w:p w:rsidR="003E25C5" w:rsidRDefault="006B261C" w:rsidP="006B2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a system with Wessex Resolutions</w:t>
            </w:r>
            <w:r w:rsidR="002A3D01">
              <w:rPr>
                <w:rFonts w:ascii="Arial" w:hAnsi="Arial" w:cs="Arial"/>
              </w:rPr>
              <w:t xml:space="preserve"> CIC</w:t>
            </w:r>
            <w:r>
              <w:rPr>
                <w:rFonts w:ascii="Arial" w:hAnsi="Arial" w:cs="Arial"/>
              </w:rPr>
              <w:t xml:space="preserve"> where by loans can be set up so </w:t>
            </w:r>
            <w:r>
              <w:rPr>
                <w:rFonts w:ascii="Arial" w:hAnsi="Arial" w:cs="Arial"/>
              </w:rPr>
              <w:lastRenderedPageBreak/>
              <w:t>interim payments can be made rather that one payment being made on completion of works.</w:t>
            </w:r>
          </w:p>
          <w:p w:rsidR="0007533C" w:rsidRPr="003E25C5" w:rsidRDefault="0007533C" w:rsidP="006B261C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3E25C5" w:rsidRPr="003E25C5" w:rsidRDefault="006B261C" w:rsidP="006B2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This improvement will help make some of the larger </w:t>
            </w:r>
            <w:r>
              <w:rPr>
                <w:rFonts w:ascii="Arial" w:hAnsi="Arial" w:cs="Arial"/>
              </w:rPr>
              <w:lastRenderedPageBreak/>
              <w:t>projects more viable.</w:t>
            </w:r>
          </w:p>
        </w:tc>
        <w:tc>
          <w:tcPr>
            <w:tcW w:w="2138" w:type="dxa"/>
          </w:tcPr>
          <w:p w:rsidR="003E25C5" w:rsidRDefault="00D8473F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Section 2 - Home Improvement Loans </w:t>
            </w:r>
          </w:p>
          <w:p w:rsidR="00D8473F" w:rsidRDefault="00D8473F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&amp;</w:t>
            </w:r>
          </w:p>
          <w:p w:rsidR="00D8473F" w:rsidRPr="003E25C5" w:rsidRDefault="00D8473F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 Empty Properties (Homes)</w:t>
            </w:r>
          </w:p>
        </w:tc>
      </w:tr>
      <w:tr w:rsidR="003E25C5" w:rsidTr="003E25C5">
        <w:tc>
          <w:tcPr>
            <w:tcW w:w="392" w:type="dxa"/>
          </w:tcPr>
          <w:p w:rsidR="003E25C5" w:rsidRPr="003E25C5" w:rsidRDefault="006B261C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676" w:type="dxa"/>
          </w:tcPr>
          <w:p w:rsidR="003E25C5" w:rsidRDefault="006B261C" w:rsidP="0007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</w:t>
            </w:r>
            <w:r w:rsidR="0007533C">
              <w:rPr>
                <w:rFonts w:ascii="Arial" w:hAnsi="Arial" w:cs="Arial"/>
              </w:rPr>
              <w:t>respect</w:t>
            </w:r>
            <w:r>
              <w:rPr>
                <w:rFonts w:ascii="Arial" w:hAnsi="Arial" w:cs="Arial"/>
              </w:rPr>
              <w:t xml:space="preserve"> to Home Improvement </w:t>
            </w:r>
            <w:r w:rsidR="0007533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oans</w:t>
            </w:r>
            <w:r w:rsidR="0007533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remove the </w:t>
            </w:r>
            <w:r w:rsidR="0007533C">
              <w:rPr>
                <w:rFonts w:ascii="Arial" w:hAnsi="Arial" w:cs="Arial"/>
              </w:rPr>
              <w:t>vulnerability criteria so loans</w:t>
            </w:r>
            <w:r>
              <w:rPr>
                <w:rFonts w:ascii="Arial" w:hAnsi="Arial" w:cs="Arial"/>
              </w:rPr>
              <w:t xml:space="preserve"> are </w:t>
            </w:r>
            <w:r w:rsidR="0007533C">
              <w:rPr>
                <w:rFonts w:ascii="Arial" w:hAnsi="Arial" w:cs="Arial"/>
              </w:rPr>
              <w:t>open</w:t>
            </w:r>
            <w:r>
              <w:rPr>
                <w:rFonts w:ascii="Arial" w:hAnsi="Arial" w:cs="Arial"/>
              </w:rPr>
              <w:t xml:space="preserve"> to all while keeping financial eligibility criteria</w:t>
            </w:r>
            <w:r w:rsidR="002A3D01">
              <w:rPr>
                <w:rFonts w:ascii="Arial" w:hAnsi="Arial" w:cs="Arial"/>
              </w:rPr>
              <w:t xml:space="preserve"> in place.</w:t>
            </w:r>
          </w:p>
          <w:p w:rsidR="002A3D01" w:rsidRPr="003E25C5" w:rsidRDefault="002A3D01" w:rsidP="0007533C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3E25C5" w:rsidRDefault="006B261C" w:rsidP="0007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Loans are made available to a wider group but are focussed </w:t>
            </w:r>
            <w:r w:rsidR="0007533C">
              <w:rPr>
                <w:rFonts w:ascii="Arial" w:hAnsi="Arial" w:cs="Arial"/>
              </w:rPr>
              <w:t>on low income households</w:t>
            </w:r>
          </w:p>
          <w:p w:rsidR="0007533C" w:rsidRPr="003E25C5" w:rsidRDefault="0007533C" w:rsidP="0007533C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D8473F" w:rsidRDefault="00D8473F" w:rsidP="00D84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2 - Home Improvement Loans </w:t>
            </w:r>
          </w:p>
          <w:p w:rsidR="003E25C5" w:rsidRPr="003E25C5" w:rsidRDefault="003E25C5" w:rsidP="005E1053">
            <w:pPr>
              <w:jc w:val="center"/>
              <w:rPr>
                <w:rFonts w:ascii="Arial" w:hAnsi="Arial" w:cs="Arial"/>
              </w:rPr>
            </w:pPr>
          </w:p>
        </w:tc>
      </w:tr>
      <w:tr w:rsidR="003E25C5" w:rsidTr="003E25C5">
        <w:tc>
          <w:tcPr>
            <w:tcW w:w="392" w:type="dxa"/>
          </w:tcPr>
          <w:p w:rsidR="003E25C5" w:rsidRPr="003E25C5" w:rsidRDefault="0007533C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76" w:type="dxa"/>
          </w:tcPr>
          <w:p w:rsidR="003E25C5" w:rsidRPr="003E25C5" w:rsidRDefault="002A3D01" w:rsidP="002A3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respect to Home Improvement Loans</w:t>
            </w:r>
            <w:r w:rsidR="00EF0E05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u</w:t>
            </w:r>
            <w:r w:rsidR="0007533C">
              <w:rPr>
                <w:rFonts w:ascii="Arial" w:hAnsi="Arial" w:cs="Arial"/>
              </w:rPr>
              <w:t xml:space="preserve">pdate the </w:t>
            </w:r>
            <w:r w:rsidR="00F96C37">
              <w:rPr>
                <w:rFonts w:ascii="Arial" w:hAnsi="Arial" w:cs="Arial"/>
              </w:rPr>
              <w:t>financial</w:t>
            </w:r>
            <w:r w:rsidR="0007533C">
              <w:rPr>
                <w:rFonts w:ascii="Arial" w:hAnsi="Arial" w:cs="Arial"/>
              </w:rPr>
              <w:t xml:space="preserve"> eligibility criteria so the disposable income and savings limit are increased</w:t>
            </w:r>
            <w:r w:rsidR="00F96C37">
              <w:rPr>
                <w:rFonts w:ascii="Arial" w:hAnsi="Arial" w:cs="Arial"/>
              </w:rPr>
              <w:t>.</w:t>
            </w:r>
          </w:p>
        </w:tc>
        <w:tc>
          <w:tcPr>
            <w:tcW w:w="2316" w:type="dxa"/>
          </w:tcPr>
          <w:p w:rsidR="003E25C5" w:rsidRPr="003E25C5" w:rsidRDefault="0007533C" w:rsidP="00075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figure has not been reviewed for many years and it would be beneficial to direct the loans to families with up to average incomes</w:t>
            </w:r>
            <w:r w:rsidR="00F96C37">
              <w:rPr>
                <w:rFonts w:ascii="Arial" w:hAnsi="Arial" w:cs="Arial"/>
              </w:rPr>
              <w:t xml:space="preserve"> and increase the number of people who could potentially </w:t>
            </w:r>
            <w:r w:rsidR="00221DB7">
              <w:rPr>
                <w:rFonts w:ascii="Arial" w:hAnsi="Arial" w:cs="Arial"/>
              </w:rPr>
              <w:t>apply</w:t>
            </w:r>
            <w:r w:rsidR="00F96C37">
              <w:rPr>
                <w:rFonts w:ascii="Arial" w:hAnsi="Arial" w:cs="Arial"/>
              </w:rPr>
              <w:t>.</w:t>
            </w:r>
          </w:p>
        </w:tc>
        <w:tc>
          <w:tcPr>
            <w:tcW w:w="2138" w:type="dxa"/>
          </w:tcPr>
          <w:p w:rsidR="002A3D01" w:rsidRDefault="002A3D01" w:rsidP="002A3D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2 - Home Improvement Loans </w:t>
            </w:r>
          </w:p>
          <w:p w:rsidR="003E25C5" w:rsidRPr="003E25C5" w:rsidRDefault="003E25C5" w:rsidP="005E1053">
            <w:pPr>
              <w:jc w:val="center"/>
              <w:rPr>
                <w:rFonts w:ascii="Arial" w:hAnsi="Arial" w:cs="Arial"/>
              </w:rPr>
            </w:pPr>
          </w:p>
        </w:tc>
      </w:tr>
      <w:tr w:rsidR="003E25C5" w:rsidTr="003E25C5">
        <w:tc>
          <w:tcPr>
            <w:tcW w:w="392" w:type="dxa"/>
          </w:tcPr>
          <w:p w:rsidR="003E25C5" w:rsidRPr="003E25C5" w:rsidRDefault="00525C1A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76" w:type="dxa"/>
          </w:tcPr>
          <w:p w:rsidR="003E25C5" w:rsidRPr="003E25C5" w:rsidRDefault="00525C1A" w:rsidP="00525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Energy Loans available to private landlords for planned proactive works to insulate homes or provide renewable energy measure. No eligibility when enforcement action is being taken by Housing services</w:t>
            </w:r>
          </w:p>
        </w:tc>
        <w:tc>
          <w:tcPr>
            <w:tcW w:w="2316" w:type="dxa"/>
          </w:tcPr>
          <w:p w:rsidR="003E25C5" w:rsidRDefault="00240228" w:rsidP="0024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help and support to landlords to improve private rented properties, which commonly experience some of the worst problems – particularly being excessively cold. </w:t>
            </w:r>
          </w:p>
          <w:p w:rsidR="00240228" w:rsidRDefault="00240228" w:rsidP="00240228">
            <w:pPr>
              <w:rPr>
                <w:rFonts w:ascii="Arial" w:hAnsi="Arial" w:cs="Arial"/>
              </w:rPr>
            </w:pPr>
          </w:p>
          <w:p w:rsidR="00240228" w:rsidRDefault="00240228" w:rsidP="002402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improvement will help contribute to reducing carbon emissions.</w:t>
            </w:r>
          </w:p>
          <w:p w:rsidR="00240228" w:rsidRPr="003E25C5" w:rsidRDefault="00240228" w:rsidP="005E10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3E25C5" w:rsidRPr="003E25C5" w:rsidRDefault="002A3D01" w:rsidP="005E10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 – Home energy Loans</w:t>
            </w:r>
          </w:p>
        </w:tc>
      </w:tr>
      <w:tr w:rsidR="003E25C5" w:rsidTr="003E25C5">
        <w:tc>
          <w:tcPr>
            <w:tcW w:w="392" w:type="dxa"/>
          </w:tcPr>
          <w:p w:rsidR="003E25C5" w:rsidRPr="003E25C5" w:rsidRDefault="003E25C5" w:rsidP="005E10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3E25C5" w:rsidRPr="003E25C5" w:rsidRDefault="003E25C5" w:rsidP="005E10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3E25C5" w:rsidRPr="003E25C5" w:rsidRDefault="003E25C5" w:rsidP="005E10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3E25C5" w:rsidRPr="003E25C5" w:rsidRDefault="003E25C5" w:rsidP="005E10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25C5" w:rsidRPr="005E1053" w:rsidRDefault="003E25C5" w:rsidP="005E1053">
      <w:pPr>
        <w:jc w:val="center"/>
        <w:rPr>
          <w:rFonts w:ascii="Arial" w:hAnsi="Arial" w:cs="Arial"/>
          <w:b/>
        </w:rPr>
      </w:pPr>
    </w:p>
    <w:sectPr w:rsidR="003E25C5" w:rsidRPr="005E10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53"/>
    <w:rsid w:val="0007533C"/>
    <w:rsid w:val="001C4162"/>
    <w:rsid w:val="00221DB7"/>
    <w:rsid w:val="00225745"/>
    <w:rsid w:val="00240228"/>
    <w:rsid w:val="002A3D01"/>
    <w:rsid w:val="003014AE"/>
    <w:rsid w:val="003E25C5"/>
    <w:rsid w:val="00525C1A"/>
    <w:rsid w:val="005E1053"/>
    <w:rsid w:val="006B261C"/>
    <w:rsid w:val="00714BF3"/>
    <w:rsid w:val="007B341D"/>
    <w:rsid w:val="008E004A"/>
    <w:rsid w:val="00974C89"/>
    <w:rsid w:val="009D1BBC"/>
    <w:rsid w:val="00A432B1"/>
    <w:rsid w:val="00A53FE7"/>
    <w:rsid w:val="00AA5DD5"/>
    <w:rsid w:val="00D8473F"/>
    <w:rsid w:val="00E66330"/>
    <w:rsid w:val="00EA29F8"/>
    <w:rsid w:val="00EF0E05"/>
    <w:rsid w:val="00F42216"/>
    <w:rsid w:val="00F92B23"/>
    <w:rsid w:val="00F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5566CC5C</Template>
  <TotalTime>142</TotalTime>
  <Pages>2</Pages>
  <Words>505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Roverato</dc:creator>
  <cp:lastModifiedBy>Chris Mordaunt</cp:lastModifiedBy>
  <cp:revision>5</cp:revision>
  <dcterms:created xsi:type="dcterms:W3CDTF">2018-10-31T13:47:00Z</dcterms:created>
  <dcterms:modified xsi:type="dcterms:W3CDTF">2018-11-06T16:53:00Z</dcterms:modified>
</cp:coreProperties>
</file>