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86" w:rsidRDefault="003C7F86" w:rsidP="003C7F86">
      <w:pPr>
        <w:pStyle w:val="Default"/>
        <w:ind w:left="284"/>
        <w:jc w:val="center"/>
        <w:rPr>
          <w:b/>
          <w:sz w:val="28"/>
          <w:szCs w:val="28"/>
          <w:u w:val="single"/>
        </w:rPr>
      </w:pPr>
      <w:bookmarkStart w:id="0" w:name="_GoBack"/>
      <w:bookmarkEnd w:id="0"/>
      <w:r w:rsidRPr="009D4BF1">
        <w:rPr>
          <w:b/>
          <w:sz w:val="28"/>
          <w:szCs w:val="28"/>
          <w:u w:val="single"/>
        </w:rPr>
        <w:t>Evaluation Criteria for Assets of Community Value in Bath and North East Somerset</w:t>
      </w:r>
    </w:p>
    <w:p w:rsidR="003C7F86" w:rsidRDefault="003C7F86" w:rsidP="003C7F86">
      <w:pPr>
        <w:pStyle w:val="Default"/>
        <w:ind w:left="284"/>
        <w:jc w:val="center"/>
        <w:rPr>
          <w:b/>
          <w:sz w:val="28"/>
          <w:szCs w:val="28"/>
          <w:u w:val="single"/>
        </w:rPr>
      </w:pPr>
    </w:p>
    <w:p w:rsidR="003C7F86" w:rsidRDefault="003C7F86" w:rsidP="003C7F86">
      <w:pPr>
        <w:pStyle w:val="Default"/>
        <w:ind w:left="284"/>
      </w:pPr>
      <w:r>
        <w:t>What follows</w:t>
      </w:r>
      <w:r w:rsidRPr="003C7F86">
        <w:t xml:space="preserve"> are the decision-making steps that will be used to determine </w:t>
      </w:r>
      <w:r>
        <w:t>your nomination.</w:t>
      </w:r>
    </w:p>
    <w:p w:rsidR="00677840" w:rsidRDefault="00677840" w:rsidP="003C7F86">
      <w:pPr>
        <w:pStyle w:val="Default"/>
        <w:ind w:left="284"/>
      </w:pPr>
    </w:p>
    <w:p w:rsidR="00677840" w:rsidRPr="00677840" w:rsidRDefault="00677840" w:rsidP="003C7F86">
      <w:pPr>
        <w:pStyle w:val="Default"/>
        <w:ind w:left="284"/>
        <w:rPr>
          <w:b/>
          <w:u w:val="single"/>
        </w:rPr>
      </w:pPr>
      <w:r w:rsidRPr="00677840">
        <w:rPr>
          <w:b/>
          <w:u w:val="single"/>
        </w:rPr>
        <w:t>Pre-eligibility screening</w:t>
      </w:r>
    </w:p>
    <w:p w:rsidR="00677840" w:rsidRDefault="00677840" w:rsidP="003C7F86">
      <w:pPr>
        <w:pStyle w:val="Default"/>
        <w:ind w:left="284"/>
      </w:pPr>
    </w:p>
    <w:p w:rsidR="00677840" w:rsidRDefault="00677840" w:rsidP="003C7F86">
      <w:pPr>
        <w:pStyle w:val="Default"/>
        <w:ind w:left="284"/>
      </w:pPr>
      <w:r>
        <w:t>On receipt of a nomination, it will be checked for eligibility:</w:t>
      </w:r>
    </w:p>
    <w:p w:rsidR="00677840" w:rsidRDefault="00677840" w:rsidP="003C7F86">
      <w:pPr>
        <w:pStyle w:val="Default"/>
        <w:ind w:left="284"/>
      </w:pPr>
      <w:r>
        <w:t>Is the community group or organisation nominating the asset eligible to do so?</w:t>
      </w:r>
    </w:p>
    <w:p w:rsidR="00677840" w:rsidRDefault="00677840" w:rsidP="003C7F86">
      <w:pPr>
        <w:pStyle w:val="Default"/>
        <w:ind w:left="284"/>
      </w:pPr>
      <w:r>
        <w:t>Is the nominated asset an excluded type?</w:t>
      </w:r>
    </w:p>
    <w:p w:rsidR="00677840" w:rsidRDefault="00677840" w:rsidP="003C7F86">
      <w:pPr>
        <w:pStyle w:val="Default"/>
        <w:ind w:left="284"/>
      </w:pPr>
      <w:r>
        <w:t>Is the identified use non-ancillary?</w:t>
      </w:r>
    </w:p>
    <w:p w:rsidR="00677840" w:rsidRDefault="00677840" w:rsidP="003C7F86">
      <w:pPr>
        <w:pStyle w:val="Default"/>
        <w:ind w:left="284"/>
      </w:pPr>
      <w:r>
        <w:t>Has sufficient evidence been supplied for each section as specified in the Guidelines?</w:t>
      </w:r>
    </w:p>
    <w:p w:rsidR="00677840" w:rsidRDefault="00677840" w:rsidP="003C7F86">
      <w:pPr>
        <w:pStyle w:val="Default"/>
        <w:ind w:left="284"/>
      </w:pPr>
    </w:p>
    <w:p w:rsidR="00677840" w:rsidRDefault="00677840" w:rsidP="003C7F86">
      <w:pPr>
        <w:pStyle w:val="Default"/>
        <w:ind w:left="284"/>
      </w:pPr>
      <w:r>
        <w:t>If the Officer conducting the check considers that the nomination is either ineligible, or does not supply sufficient evidence as specified in the Guidelines, it will be returned to the nominating body, explaining either (a) why the nomination is not eligible, or (b) what further evidence is required.</w:t>
      </w:r>
    </w:p>
    <w:p w:rsidR="00677840" w:rsidRDefault="00677840" w:rsidP="003C7F86">
      <w:pPr>
        <w:pStyle w:val="Default"/>
        <w:ind w:left="284"/>
      </w:pPr>
    </w:p>
    <w:p w:rsidR="00677840" w:rsidRPr="003C7F86" w:rsidRDefault="00677840" w:rsidP="003C7F86">
      <w:pPr>
        <w:pStyle w:val="Default"/>
        <w:ind w:left="284"/>
      </w:pPr>
      <w:r>
        <w:t>The formal process of considering the nomination will not begin until the Officer is satisfied that the nomination is valid, and all evidence has been supplied.</w:t>
      </w:r>
    </w:p>
    <w:p w:rsidR="003C7F86" w:rsidRDefault="003C7F86" w:rsidP="003C7F86">
      <w:pPr>
        <w:pStyle w:val="Default"/>
        <w:ind w:firstLine="284"/>
        <w:rPr>
          <w:b/>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1418"/>
      </w:tblGrid>
      <w:tr w:rsidR="003C7F86" w:rsidTr="003C7F86">
        <w:tc>
          <w:tcPr>
            <w:tcW w:w="9214" w:type="dxa"/>
            <w:gridSpan w:val="2"/>
            <w:shd w:val="pct15" w:color="auto" w:fill="auto"/>
          </w:tcPr>
          <w:p w:rsidR="003C7F86" w:rsidRDefault="003C7F86" w:rsidP="00EF4F13">
            <w:pPr>
              <w:spacing w:line="276" w:lineRule="auto"/>
              <w:rPr>
                <w:b/>
              </w:rPr>
            </w:pPr>
            <w:r>
              <w:rPr>
                <w:b/>
              </w:rPr>
              <w:t>STEP A - APPLY NON-DISCRETIONARY CRITERIA - derived from the Act and regulations</w:t>
            </w:r>
          </w:p>
        </w:tc>
      </w:tr>
      <w:tr w:rsidR="003C7F86" w:rsidRPr="001710DC" w:rsidTr="003C7F86">
        <w:trPr>
          <w:trHeight w:val="895"/>
        </w:trPr>
        <w:tc>
          <w:tcPr>
            <w:tcW w:w="9214" w:type="dxa"/>
            <w:gridSpan w:val="2"/>
            <w:shd w:val="clear" w:color="auto" w:fill="auto"/>
          </w:tcPr>
          <w:p w:rsidR="003C7F86" w:rsidRDefault="003C7F86" w:rsidP="00EF4F13">
            <w:pPr>
              <w:spacing w:line="276" w:lineRule="auto"/>
            </w:pPr>
            <w:r w:rsidRPr="001710DC">
              <w:t xml:space="preserve">A1. Is the nominating organisation an </w:t>
            </w:r>
            <w:r>
              <w:t xml:space="preserve">eligible </w:t>
            </w:r>
            <w:r w:rsidRPr="001710DC">
              <w:t>body to nominate?</w:t>
            </w:r>
          </w:p>
          <w:p w:rsidR="003C7F86" w:rsidRDefault="003C7F86" w:rsidP="00EF4F13">
            <w:pPr>
              <w:spacing w:line="276" w:lineRule="auto"/>
            </w:pPr>
          </w:p>
          <w:p w:rsidR="003C7F86" w:rsidRPr="001710DC" w:rsidRDefault="003C7F86" w:rsidP="00EF4F13">
            <w:pPr>
              <w:spacing w:line="276" w:lineRule="auto"/>
            </w:pPr>
            <w:r>
              <w:t>The types of organisations eligible for making a nomination  are currently defined in Regulation 5 of the Assets of Community Value (England) Regulations 2012 as below:</w:t>
            </w:r>
          </w:p>
          <w:p w:rsidR="003C7F86" w:rsidRPr="007939D7" w:rsidRDefault="003C7F86" w:rsidP="00EF4F13">
            <w:pPr>
              <w:autoSpaceDE w:val="0"/>
              <w:autoSpaceDN w:val="0"/>
              <w:adjustRightInd w:val="0"/>
              <w:spacing w:line="276" w:lineRule="auto"/>
            </w:pPr>
            <w:r w:rsidRPr="007939D7">
              <w:t>(a) a body designated as a neighbourhood forum pursuant to section 61F of the Town and</w:t>
            </w:r>
            <w:r>
              <w:t xml:space="preserve">  C</w:t>
            </w:r>
            <w:r w:rsidRPr="007939D7">
              <w:t>ountry Planning Act 1990</w:t>
            </w:r>
            <w:r w:rsidRPr="006A1C42">
              <w:t>(</w:t>
            </w:r>
            <w:r w:rsidRPr="006A1C42">
              <w:rPr>
                <w:bCs/>
              </w:rPr>
              <w:t>b</w:t>
            </w:r>
            <w:r w:rsidRPr="006A1C42">
              <w:t>);</w:t>
            </w:r>
          </w:p>
          <w:p w:rsidR="003C7F86" w:rsidRPr="007939D7" w:rsidRDefault="003C7F86" w:rsidP="00EF4F13">
            <w:pPr>
              <w:autoSpaceDE w:val="0"/>
              <w:autoSpaceDN w:val="0"/>
              <w:adjustRightInd w:val="0"/>
              <w:spacing w:line="276" w:lineRule="auto"/>
            </w:pPr>
            <w:r w:rsidRPr="007939D7">
              <w:t>(b) a parish council;</w:t>
            </w:r>
          </w:p>
          <w:p w:rsidR="003C7F86" w:rsidRPr="007939D7" w:rsidRDefault="003C7F86" w:rsidP="00EF4F13">
            <w:pPr>
              <w:autoSpaceDE w:val="0"/>
              <w:autoSpaceDN w:val="0"/>
              <w:adjustRightInd w:val="0"/>
              <w:spacing w:line="276" w:lineRule="auto"/>
            </w:pPr>
            <w:r w:rsidRPr="007939D7">
              <w:t>(c) an unincorporated body</w:t>
            </w:r>
            <w:r w:rsidR="006A1C42">
              <w:t xml:space="preserve"> </w:t>
            </w:r>
            <w:r w:rsidRPr="007939D7">
              <w:t>—</w:t>
            </w:r>
          </w:p>
          <w:p w:rsidR="003C7F86" w:rsidRPr="007939D7" w:rsidRDefault="003C7F86" w:rsidP="006A1C42">
            <w:pPr>
              <w:autoSpaceDE w:val="0"/>
              <w:autoSpaceDN w:val="0"/>
              <w:adjustRightInd w:val="0"/>
              <w:spacing w:line="276" w:lineRule="auto"/>
              <w:ind w:left="720"/>
            </w:pPr>
            <w:r w:rsidRPr="007939D7">
              <w:t>(</w:t>
            </w:r>
            <w:proofErr w:type="spellStart"/>
            <w:r w:rsidRPr="007939D7">
              <w:t>i</w:t>
            </w:r>
            <w:proofErr w:type="spellEnd"/>
            <w:r w:rsidRPr="007939D7">
              <w:t>) whose members include at least 21 individuals, and</w:t>
            </w:r>
          </w:p>
          <w:p w:rsidR="003C7F86" w:rsidRPr="007939D7" w:rsidRDefault="003C7F86" w:rsidP="006A1C42">
            <w:pPr>
              <w:autoSpaceDE w:val="0"/>
              <w:autoSpaceDN w:val="0"/>
              <w:adjustRightInd w:val="0"/>
              <w:spacing w:line="276" w:lineRule="auto"/>
              <w:ind w:left="720"/>
            </w:pPr>
            <w:r w:rsidRPr="007939D7">
              <w:t>(ii) which does not distribute any surplus it makes to its members;</w:t>
            </w:r>
          </w:p>
          <w:p w:rsidR="003C7F86" w:rsidRPr="007939D7" w:rsidRDefault="003C7F86" w:rsidP="00EF4F13">
            <w:pPr>
              <w:autoSpaceDE w:val="0"/>
              <w:autoSpaceDN w:val="0"/>
              <w:adjustRightInd w:val="0"/>
              <w:spacing w:line="276" w:lineRule="auto"/>
            </w:pPr>
            <w:r w:rsidRPr="007939D7">
              <w:t>(d) a charity;</w:t>
            </w:r>
          </w:p>
          <w:p w:rsidR="003C7F86" w:rsidRPr="007939D7" w:rsidRDefault="003C7F86" w:rsidP="00EF4F13">
            <w:pPr>
              <w:autoSpaceDE w:val="0"/>
              <w:autoSpaceDN w:val="0"/>
              <w:adjustRightInd w:val="0"/>
              <w:spacing w:line="276" w:lineRule="auto"/>
            </w:pPr>
            <w:r w:rsidRPr="007939D7">
              <w:t>(e) a company limited by guarantee which does not distrib</w:t>
            </w:r>
            <w:r>
              <w:t xml:space="preserve">ute any surplus it makes to its </w:t>
            </w:r>
            <w:r w:rsidRPr="007939D7">
              <w:t>members;</w:t>
            </w:r>
          </w:p>
          <w:p w:rsidR="003C7F86" w:rsidRPr="007939D7" w:rsidRDefault="003C7F86" w:rsidP="00EF4F13">
            <w:pPr>
              <w:autoSpaceDE w:val="0"/>
              <w:autoSpaceDN w:val="0"/>
              <w:adjustRightInd w:val="0"/>
              <w:spacing w:line="276" w:lineRule="auto"/>
            </w:pPr>
            <w:r w:rsidRPr="007939D7">
              <w:t>(f) an industrial and provident society which does not distrib</w:t>
            </w:r>
            <w:r>
              <w:t xml:space="preserve">ute any surplus it makes to its </w:t>
            </w:r>
            <w:r w:rsidRPr="007939D7">
              <w:t>members; or</w:t>
            </w:r>
          </w:p>
          <w:p w:rsidR="003C7F86" w:rsidRPr="001710DC" w:rsidRDefault="003C7F86" w:rsidP="00EF4F13">
            <w:pPr>
              <w:spacing w:line="276" w:lineRule="auto"/>
            </w:pPr>
            <w:r w:rsidRPr="007939D7">
              <w:t>(g) a community interest company</w:t>
            </w:r>
          </w:p>
        </w:tc>
      </w:tr>
      <w:tr w:rsidR="003C7F86" w:rsidRPr="001710DC" w:rsidTr="003C7F86">
        <w:tc>
          <w:tcPr>
            <w:tcW w:w="9214" w:type="dxa"/>
            <w:gridSpan w:val="2"/>
            <w:shd w:val="clear" w:color="auto" w:fill="auto"/>
          </w:tcPr>
          <w:p w:rsidR="003C7F86" w:rsidRDefault="003C7F86" w:rsidP="00EF4F13">
            <w:pPr>
              <w:spacing w:line="276" w:lineRule="auto"/>
            </w:pPr>
            <w:r w:rsidRPr="001710DC">
              <w:t xml:space="preserve">A2. Does the </w:t>
            </w:r>
            <w:r>
              <w:t>nominating body</w:t>
            </w:r>
            <w:r w:rsidRPr="001710DC">
              <w:t xml:space="preserve"> have a local connection to the asset</w:t>
            </w:r>
            <w:r>
              <w:t xml:space="preserve"> nominated</w:t>
            </w:r>
            <w:r w:rsidRPr="001710DC">
              <w:t>?</w:t>
            </w:r>
          </w:p>
          <w:p w:rsidR="003C7F86" w:rsidRDefault="003C7F86" w:rsidP="00EF4F13">
            <w:pPr>
              <w:spacing w:line="276" w:lineRule="auto"/>
            </w:pPr>
          </w:p>
          <w:p w:rsidR="003C7F86" w:rsidRPr="001710DC" w:rsidRDefault="003C7F86" w:rsidP="00EF4F13">
            <w:pPr>
              <w:spacing w:line="276" w:lineRule="auto"/>
            </w:pPr>
            <w:r>
              <w:t>“Local Connection” is defined in detail in Regulation 4 of the Assets of Community Value (England) Regulations 2012.</w:t>
            </w:r>
          </w:p>
        </w:tc>
      </w:tr>
      <w:tr w:rsidR="003C7F86" w:rsidRPr="001710DC" w:rsidTr="003C7F86">
        <w:tc>
          <w:tcPr>
            <w:tcW w:w="9214" w:type="dxa"/>
            <w:gridSpan w:val="2"/>
            <w:shd w:val="clear" w:color="auto" w:fill="auto"/>
          </w:tcPr>
          <w:p w:rsidR="003C7F86" w:rsidRDefault="003C7F86" w:rsidP="00EF4F13">
            <w:pPr>
              <w:spacing w:line="276" w:lineRule="auto"/>
            </w:pPr>
            <w:r w:rsidRPr="001710DC">
              <w:lastRenderedPageBreak/>
              <w:t xml:space="preserve">A3. </w:t>
            </w:r>
            <w:r>
              <w:t>Does the nomination</w:t>
            </w:r>
            <w:r w:rsidRPr="001710DC">
              <w:t xml:space="preserve"> </w:t>
            </w:r>
            <w:r>
              <w:t>include the</w:t>
            </w:r>
            <w:r w:rsidRPr="001710DC">
              <w:t xml:space="preserve"> required information about the asset</w:t>
            </w:r>
            <w:r>
              <w:t>?</w:t>
            </w:r>
            <w:r w:rsidRPr="001710DC">
              <w:t xml:space="preserve"> </w:t>
            </w:r>
          </w:p>
          <w:p w:rsidR="003C7F86" w:rsidRDefault="003C7F86" w:rsidP="00EF4F13">
            <w:pPr>
              <w:spacing w:line="276" w:lineRule="auto"/>
            </w:pPr>
          </w:p>
          <w:p w:rsidR="003C7F86" w:rsidRDefault="003C7F86" w:rsidP="00EF4F13">
            <w:pPr>
              <w:autoSpaceDE w:val="0"/>
              <w:autoSpaceDN w:val="0"/>
              <w:adjustRightInd w:val="0"/>
              <w:spacing w:line="276" w:lineRule="auto"/>
            </w:pPr>
            <w:r>
              <w:t>This is set out in Regulation 6 of the Assets of Community Value (England) Regulations 2012 as follows:</w:t>
            </w:r>
          </w:p>
          <w:p w:rsidR="003C7F86" w:rsidRPr="002C3CA1" w:rsidRDefault="003C7F86" w:rsidP="00EF4F13">
            <w:pPr>
              <w:autoSpaceDE w:val="0"/>
              <w:autoSpaceDN w:val="0"/>
              <w:adjustRightInd w:val="0"/>
              <w:spacing w:line="276" w:lineRule="auto"/>
            </w:pPr>
            <w:r w:rsidRPr="002C3CA1">
              <w:t>(a)</w:t>
            </w:r>
            <w:r w:rsidR="006A1C42">
              <w:t xml:space="preserve"> </w:t>
            </w:r>
            <w:r w:rsidRPr="002C3CA1">
              <w:t>a description of the nominated land including its proposed boundaries;</w:t>
            </w:r>
          </w:p>
          <w:p w:rsidR="003C7F86" w:rsidRPr="002C3CA1" w:rsidRDefault="003C7F86" w:rsidP="00EF4F13">
            <w:pPr>
              <w:autoSpaceDE w:val="0"/>
              <w:autoSpaceDN w:val="0"/>
              <w:adjustRightInd w:val="0"/>
              <w:spacing w:line="276" w:lineRule="auto"/>
            </w:pPr>
            <w:r w:rsidRPr="002C3CA1">
              <w:t>(b) a statement of all the information which the nominator has with regard to—</w:t>
            </w:r>
          </w:p>
          <w:p w:rsidR="003C7F86" w:rsidRPr="002C3CA1" w:rsidRDefault="003C7F86" w:rsidP="006A1C42">
            <w:pPr>
              <w:autoSpaceDE w:val="0"/>
              <w:autoSpaceDN w:val="0"/>
              <w:adjustRightInd w:val="0"/>
              <w:spacing w:line="276" w:lineRule="auto"/>
              <w:ind w:left="720"/>
            </w:pPr>
            <w:r w:rsidRPr="002C3CA1">
              <w:t>(</w:t>
            </w:r>
            <w:proofErr w:type="spellStart"/>
            <w:r w:rsidRPr="002C3CA1">
              <w:t>i</w:t>
            </w:r>
            <w:proofErr w:type="spellEnd"/>
            <w:r w:rsidRPr="002C3CA1">
              <w:t>) the names of current occupants of the land, and</w:t>
            </w:r>
          </w:p>
          <w:p w:rsidR="003C7F86" w:rsidRPr="001710DC" w:rsidRDefault="003C7F86" w:rsidP="006A1C42">
            <w:pPr>
              <w:autoSpaceDE w:val="0"/>
              <w:autoSpaceDN w:val="0"/>
              <w:adjustRightInd w:val="0"/>
              <w:spacing w:line="276" w:lineRule="auto"/>
              <w:ind w:left="720"/>
            </w:pPr>
            <w:r w:rsidRPr="002C3CA1">
              <w:t>(ii) the names and current or last-known addresses of all those holding a freehold or</w:t>
            </w:r>
            <w:r w:rsidR="006A1C42">
              <w:t xml:space="preserve"> </w:t>
            </w:r>
            <w:r w:rsidRPr="002C3CA1">
              <w:t>leasehold estate in the land</w:t>
            </w:r>
          </w:p>
        </w:tc>
      </w:tr>
      <w:tr w:rsidR="003C7F86" w:rsidRPr="001710DC" w:rsidTr="003C7F86">
        <w:tc>
          <w:tcPr>
            <w:tcW w:w="9214" w:type="dxa"/>
            <w:gridSpan w:val="2"/>
            <w:shd w:val="clear" w:color="auto" w:fill="auto"/>
          </w:tcPr>
          <w:p w:rsidR="003C7F86" w:rsidRDefault="003C7F86" w:rsidP="00EF4F13">
            <w:pPr>
              <w:spacing w:line="276" w:lineRule="auto"/>
            </w:pPr>
            <w:r w:rsidRPr="001710DC">
              <w:t>A4</w:t>
            </w:r>
            <w:r>
              <w:t>.</w:t>
            </w:r>
            <w:r w:rsidRPr="001710DC">
              <w:t xml:space="preserve"> </w:t>
            </w:r>
            <w:r>
              <w:t>Is the</w:t>
            </w:r>
            <w:r w:rsidRPr="001710DC">
              <w:t xml:space="preserve"> </w:t>
            </w:r>
            <w:r>
              <w:t xml:space="preserve">nominated </w:t>
            </w:r>
            <w:r w:rsidRPr="001710DC">
              <w:t>asset</w:t>
            </w:r>
            <w:r>
              <w:t xml:space="preserve"> outside of one of the categories that cannot be assets of community value </w:t>
            </w:r>
            <w:r w:rsidRPr="000A5B31">
              <w:t>as set out in Schedule 1 of the assets of Community Value</w:t>
            </w:r>
            <w:r>
              <w:t xml:space="preserve"> </w:t>
            </w:r>
            <w:r w:rsidRPr="000A5B31">
              <w:t xml:space="preserve">(England) Regulations 2012, as </w:t>
            </w:r>
            <w:r w:rsidRPr="00B15388">
              <w:t>summarised below</w:t>
            </w:r>
            <w:proofErr w:type="gramStart"/>
            <w:r>
              <w:t>?</w:t>
            </w:r>
            <w:r w:rsidRPr="00B15388">
              <w:t>:</w:t>
            </w:r>
            <w:proofErr w:type="gramEnd"/>
          </w:p>
          <w:p w:rsidR="003C7F86" w:rsidRPr="00B15388" w:rsidRDefault="003C7F86" w:rsidP="00EF4F13">
            <w:pPr>
              <w:spacing w:line="276" w:lineRule="auto"/>
            </w:pPr>
          </w:p>
          <w:p w:rsidR="003C7F86" w:rsidRDefault="003C7F86" w:rsidP="003C7F86">
            <w:pPr>
              <w:numPr>
                <w:ilvl w:val="0"/>
                <w:numId w:val="1"/>
              </w:numPr>
              <w:autoSpaceDE w:val="0"/>
              <w:autoSpaceDN w:val="0"/>
              <w:adjustRightInd w:val="0"/>
              <w:spacing w:line="276" w:lineRule="auto"/>
              <w:rPr>
                <w:rFonts w:ascii="TimesNewRoman" w:hAnsi="TimesNewRoman" w:cs="TimesNewRoman"/>
              </w:rPr>
            </w:pPr>
            <w:r>
              <w:rPr>
                <w:rFonts w:ascii="TimesNewRoman" w:hAnsi="TimesNewRoman" w:cs="TimesNewRoman"/>
              </w:rPr>
              <w:t>A</w:t>
            </w:r>
            <w:r w:rsidRPr="007939D7">
              <w:rPr>
                <w:rFonts w:ascii="TimesNewRoman" w:hAnsi="TimesNewRoman" w:cs="TimesNewRoman"/>
              </w:rPr>
              <w:t xml:space="preserve"> residence together with land connected</w:t>
            </w:r>
            <w:r>
              <w:rPr>
                <w:rFonts w:ascii="TimesNewRoman" w:hAnsi="TimesNewRoman" w:cs="TimesNewRoman"/>
              </w:rPr>
              <w:t xml:space="preserve"> with that residence</w:t>
            </w:r>
          </w:p>
          <w:p w:rsidR="003C7F86" w:rsidRPr="00916B5E" w:rsidRDefault="003C7F86" w:rsidP="00EF4F13">
            <w:pPr>
              <w:numPr>
                <w:ilvl w:val="0"/>
                <w:numId w:val="1"/>
              </w:numPr>
              <w:autoSpaceDE w:val="0"/>
              <w:autoSpaceDN w:val="0"/>
              <w:adjustRightInd w:val="0"/>
              <w:spacing w:line="276" w:lineRule="auto"/>
              <w:rPr>
                <w:rFonts w:ascii="TimesNewRoman" w:hAnsi="TimesNewRoman" w:cs="TimesNewRoman"/>
              </w:rPr>
            </w:pPr>
            <w:r w:rsidRPr="00916B5E">
              <w:rPr>
                <w:rFonts w:ascii="TimesNewRoman" w:hAnsi="TimesNewRoman" w:cs="TimesNewRoman"/>
              </w:rPr>
              <w:t>Land in respect of which a site licence is required under Part 1 of the Caravan Sites and</w:t>
            </w:r>
            <w:r w:rsidR="00916B5E" w:rsidRPr="00916B5E">
              <w:rPr>
                <w:rFonts w:ascii="TimesNewRoman" w:hAnsi="TimesNewRoman" w:cs="TimesNewRoman"/>
              </w:rPr>
              <w:t xml:space="preserve"> </w:t>
            </w:r>
            <w:r w:rsidRPr="00916B5E">
              <w:rPr>
                <w:rFonts w:ascii="TimesNewRoman" w:hAnsi="TimesNewRoman" w:cs="TimesNewRoman"/>
              </w:rPr>
              <w:t>Control of Development Act 1960</w:t>
            </w:r>
          </w:p>
          <w:p w:rsidR="003C7F86" w:rsidRPr="006C3A6D" w:rsidRDefault="003C7F86" w:rsidP="003C7F86">
            <w:pPr>
              <w:numPr>
                <w:ilvl w:val="0"/>
                <w:numId w:val="1"/>
              </w:numPr>
              <w:autoSpaceDE w:val="0"/>
              <w:autoSpaceDN w:val="0"/>
              <w:adjustRightInd w:val="0"/>
              <w:spacing w:line="276" w:lineRule="auto"/>
              <w:rPr>
                <w:rFonts w:ascii="TimesNewRoman" w:hAnsi="TimesNewRoman" w:cs="TimesNewRoman"/>
              </w:rPr>
            </w:pPr>
            <w:r w:rsidRPr="006C3A6D">
              <w:rPr>
                <w:rFonts w:ascii="TimesNewRoman" w:hAnsi="TimesNewRoman" w:cs="TimesNewRoman"/>
              </w:rPr>
              <w:t>Operational land as defined in section 263 of the Town and Country Planning Act 1990</w:t>
            </w:r>
            <w:r>
              <w:rPr>
                <w:rFonts w:ascii="TimesNewRoman" w:hAnsi="TimesNewRoman" w:cs="TimesNewRoman"/>
              </w:rPr>
              <w:t>.</w:t>
            </w:r>
          </w:p>
        </w:tc>
      </w:tr>
      <w:tr w:rsidR="003C7F86" w:rsidRPr="003C358C" w:rsidTr="003C7F86">
        <w:tc>
          <w:tcPr>
            <w:tcW w:w="9214" w:type="dxa"/>
            <w:gridSpan w:val="2"/>
            <w:tcBorders>
              <w:bottom w:val="single" w:sz="4" w:space="0" w:color="auto"/>
            </w:tcBorders>
            <w:shd w:val="clear" w:color="auto" w:fill="auto"/>
          </w:tcPr>
          <w:p w:rsidR="003C7F86" w:rsidRDefault="003C7F86" w:rsidP="00EF4F13">
            <w:pPr>
              <w:spacing w:line="276" w:lineRule="auto"/>
              <w:rPr>
                <w:b/>
              </w:rPr>
            </w:pPr>
            <w:r w:rsidRPr="003C358C">
              <w:rPr>
                <w:b/>
              </w:rPr>
              <w:t xml:space="preserve">IF “YES” TO ALL OF </w:t>
            </w:r>
            <w:r>
              <w:rPr>
                <w:b/>
              </w:rPr>
              <w:t>PART</w:t>
            </w:r>
            <w:r w:rsidRPr="003C358C">
              <w:rPr>
                <w:b/>
              </w:rPr>
              <w:t xml:space="preserve"> A MOVE TO </w:t>
            </w:r>
            <w:r>
              <w:rPr>
                <w:b/>
              </w:rPr>
              <w:t>STEP</w:t>
            </w:r>
            <w:r w:rsidRPr="003C358C">
              <w:rPr>
                <w:b/>
              </w:rPr>
              <w:t xml:space="preserve"> B</w:t>
            </w:r>
          </w:p>
          <w:p w:rsidR="003C7F86" w:rsidRPr="003C358C" w:rsidRDefault="003C7F86" w:rsidP="00EF4F13">
            <w:pPr>
              <w:spacing w:line="276" w:lineRule="auto"/>
              <w:rPr>
                <w:b/>
              </w:rPr>
            </w:pPr>
            <w:r>
              <w:rPr>
                <w:b/>
              </w:rPr>
              <w:t xml:space="preserve">IF “NO” TO ONE OR MORE OF PART A, INFORM NOMINATOR THAT NONINATION IS INELIGIBLE. PLACE ON LIST OF UNSUCCESSFUL NOMINATIONS. </w:t>
            </w:r>
          </w:p>
        </w:tc>
      </w:tr>
      <w:tr w:rsidR="003C7F86" w:rsidRPr="00073A3A" w:rsidTr="003C7F86">
        <w:tc>
          <w:tcPr>
            <w:tcW w:w="9214" w:type="dxa"/>
            <w:gridSpan w:val="2"/>
            <w:shd w:val="pct15" w:color="auto" w:fill="auto"/>
          </w:tcPr>
          <w:p w:rsidR="003C7F86" w:rsidRPr="00073A3A" w:rsidRDefault="003C7F86" w:rsidP="00EF4F13">
            <w:pPr>
              <w:spacing w:line="276" w:lineRule="auto"/>
              <w:rPr>
                <w:b/>
              </w:rPr>
            </w:pPr>
            <w:r>
              <w:rPr>
                <w:b/>
              </w:rPr>
              <w:t>STEP B - ESTABLISHING THE NON-ANCILLARY USE THAT THE APPLICATION IS BASED ON</w:t>
            </w:r>
          </w:p>
        </w:tc>
      </w:tr>
      <w:tr w:rsidR="003C7F86" w:rsidTr="003C7F86">
        <w:tc>
          <w:tcPr>
            <w:tcW w:w="9214" w:type="dxa"/>
            <w:gridSpan w:val="2"/>
            <w:shd w:val="clear" w:color="auto" w:fill="auto"/>
          </w:tcPr>
          <w:p w:rsidR="003C7F86" w:rsidRDefault="003C7F86" w:rsidP="00EF4F13">
            <w:pPr>
              <w:shd w:val="clear" w:color="auto" w:fill="FFFFFF"/>
              <w:spacing w:before="100" w:beforeAutospacing="1" w:after="100" w:afterAutospacing="1" w:line="276" w:lineRule="auto"/>
            </w:pPr>
            <w:r>
              <w:t xml:space="preserve">B1. Is the current or recent usage which is the subject of the nomination an </w:t>
            </w:r>
            <w:r w:rsidRPr="009F6E70">
              <w:rPr>
                <w:b/>
              </w:rPr>
              <w:t>actual and non-ancillary usage?</w:t>
            </w:r>
            <w:r>
              <w:t xml:space="preserve">  </w:t>
            </w:r>
            <w:r>
              <w:br/>
            </w:r>
            <w:r>
              <w:br/>
              <w:t>NOTE 1: A working definition of “recent past” is “within the past three years”</w:t>
            </w:r>
          </w:p>
          <w:p w:rsidR="003C7F86" w:rsidRPr="00450DFD" w:rsidRDefault="003C7F86" w:rsidP="00EF4F13">
            <w:pPr>
              <w:spacing w:line="276" w:lineRule="auto"/>
              <w:rPr>
                <w:color w:val="222222"/>
              </w:rPr>
            </w:pPr>
            <w:r>
              <w:t xml:space="preserve">NOTE 2: </w:t>
            </w:r>
            <w:r w:rsidRPr="00450DFD">
              <w:rPr>
                <w:rFonts w:ascii="TT6D1o00" w:hAnsi="TT6D1o00" w:cs="TT6D1o00"/>
                <w:lang w:eastAsia="en-GB"/>
              </w:rPr>
              <w:t>A working definition of “non-ancillary” is that the usage is not providing necessary support (e.g. cleaning) to the primary activities carried out in the asset, but is itself a primary, additional or complementary use.</w:t>
            </w:r>
          </w:p>
        </w:tc>
      </w:tr>
      <w:tr w:rsidR="003C7F86" w:rsidRPr="009F6E70" w:rsidTr="003C7F86">
        <w:tc>
          <w:tcPr>
            <w:tcW w:w="9214" w:type="dxa"/>
            <w:gridSpan w:val="2"/>
            <w:tcBorders>
              <w:bottom w:val="single" w:sz="4" w:space="0" w:color="auto"/>
            </w:tcBorders>
            <w:shd w:val="clear" w:color="auto" w:fill="auto"/>
          </w:tcPr>
          <w:p w:rsidR="003C7F86" w:rsidRPr="009F6E70" w:rsidRDefault="003C7F86" w:rsidP="00EF4F13">
            <w:pPr>
              <w:shd w:val="clear" w:color="auto" w:fill="FFFFFF"/>
              <w:spacing w:before="100" w:beforeAutospacing="1" w:after="100" w:afterAutospacing="1" w:line="276" w:lineRule="auto"/>
              <w:rPr>
                <w:b/>
              </w:rPr>
            </w:pPr>
            <w:r w:rsidRPr="009F6E70">
              <w:rPr>
                <w:b/>
              </w:rPr>
              <w:t xml:space="preserve">If the current or recent usage that is the subject of the </w:t>
            </w:r>
            <w:r>
              <w:rPr>
                <w:b/>
              </w:rPr>
              <w:t>nomination</w:t>
            </w:r>
            <w:r w:rsidRPr="009F6E70">
              <w:rPr>
                <w:b/>
              </w:rPr>
              <w:t xml:space="preserve"> </w:t>
            </w:r>
            <w:r>
              <w:rPr>
                <w:b/>
              </w:rPr>
              <w:t xml:space="preserve">is </w:t>
            </w:r>
            <w:r w:rsidRPr="009F6E70">
              <w:rPr>
                <w:b/>
              </w:rPr>
              <w:t>actual and non-ancillary, go to STEP C</w:t>
            </w:r>
          </w:p>
          <w:p w:rsidR="003C7F86" w:rsidRPr="009F6E70" w:rsidRDefault="003C7F86" w:rsidP="00EF4F13">
            <w:pPr>
              <w:spacing w:line="276" w:lineRule="auto"/>
              <w:rPr>
                <w:b/>
              </w:rPr>
            </w:pPr>
            <w:r w:rsidRPr="009F6E70">
              <w:rPr>
                <w:b/>
              </w:rPr>
              <w:t xml:space="preserve">If not, </w:t>
            </w:r>
            <w:r>
              <w:rPr>
                <w:b/>
              </w:rPr>
              <w:t>PLACE ON LIST OF UNSUCCESSFUL NOMINATIONS</w:t>
            </w:r>
          </w:p>
        </w:tc>
      </w:tr>
      <w:tr w:rsidR="003C7F86" w:rsidRPr="00073A3A" w:rsidTr="003C7F86">
        <w:tc>
          <w:tcPr>
            <w:tcW w:w="9214" w:type="dxa"/>
            <w:gridSpan w:val="2"/>
            <w:shd w:val="pct15" w:color="auto" w:fill="auto"/>
          </w:tcPr>
          <w:p w:rsidR="003C7F86" w:rsidRPr="00073A3A" w:rsidRDefault="003C7F86" w:rsidP="00EF4F13">
            <w:pPr>
              <w:autoSpaceDE w:val="0"/>
              <w:autoSpaceDN w:val="0"/>
              <w:adjustRightInd w:val="0"/>
              <w:spacing w:line="276" w:lineRule="auto"/>
              <w:rPr>
                <w:b/>
              </w:rPr>
            </w:pPr>
            <w:r>
              <w:rPr>
                <w:b/>
              </w:rPr>
              <w:t>STEP C – Determining whether the usage furthers social wellbeing or social interests</w:t>
            </w:r>
          </w:p>
        </w:tc>
      </w:tr>
      <w:tr w:rsidR="003C7F86" w:rsidTr="00916B5E">
        <w:tc>
          <w:tcPr>
            <w:tcW w:w="7796" w:type="dxa"/>
            <w:tcBorders>
              <w:top w:val="single" w:sz="4" w:space="0" w:color="auto"/>
              <w:left w:val="single" w:sz="4" w:space="0" w:color="auto"/>
              <w:bottom w:val="single" w:sz="4" w:space="0" w:color="auto"/>
              <w:right w:val="single" w:sz="4" w:space="0" w:color="auto"/>
            </w:tcBorders>
          </w:tcPr>
          <w:p w:rsidR="003C7F86" w:rsidRPr="00851A26" w:rsidRDefault="003C7F86" w:rsidP="00EF4F13">
            <w:pPr>
              <w:spacing w:line="276" w:lineRule="auto"/>
              <w:rPr>
                <w:b/>
              </w:rPr>
            </w:pPr>
            <w:r>
              <w:rPr>
                <w:b/>
              </w:rPr>
              <w:t>Criteria</w:t>
            </w:r>
          </w:p>
        </w:tc>
        <w:tc>
          <w:tcPr>
            <w:tcW w:w="1418" w:type="dxa"/>
            <w:tcBorders>
              <w:top w:val="single" w:sz="4" w:space="0" w:color="auto"/>
              <w:left w:val="single" w:sz="4" w:space="0" w:color="auto"/>
              <w:bottom w:val="single" w:sz="4" w:space="0" w:color="auto"/>
              <w:right w:val="single" w:sz="4" w:space="0" w:color="auto"/>
            </w:tcBorders>
          </w:tcPr>
          <w:p w:rsidR="003C7F86" w:rsidRPr="00851A26" w:rsidRDefault="003C7F86" w:rsidP="00EF4F13">
            <w:pPr>
              <w:spacing w:line="276" w:lineRule="auto"/>
              <w:rPr>
                <w:b/>
              </w:rPr>
            </w:pPr>
            <w:r w:rsidRPr="00851A26">
              <w:rPr>
                <w:b/>
              </w:rPr>
              <w:t>Weighting</w:t>
            </w:r>
          </w:p>
        </w:tc>
      </w:tr>
      <w:tr w:rsidR="003C7F86" w:rsidTr="00916B5E">
        <w:tc>
          <w:tcPr>
            <w:tcW w:w="7796" w:type="dxa"/>
            <w:tcBorders>
              <w:top w:val="single" w:sz="4" w:space="0" w:color="auto"/>
              <w:left w:val="single" w:sz="4" w:space="0" w:color="auto"/>
              <w:bottom w:val="single" w:sz="4" w:space="0" w:color="auto"/>
              <w:right w:val="single" w:sz="4" w:space="0" w:color="auto"/>
            </w:tcBorders>
            <w:hideMark/>
          </w:tcPr>
          <w:p w:rsidR="003C7F86" w:rsidRDefault="003C7F86" w:rsidP="00EF4F13">
            <w:pPr>
              <w:shd w:val="clear" w:color="auto" w:fill="FFFFFF"/>
              <w:spacing w:before="100" w:beforeAutospacing="1" w:after="100" w:afterAutospacing="1" w:line="276" w:lineRule="auto"/>
            </w:pPr>
            <w:r>
              <w:rPr>
                <w:b/>
              </w:rPr>
              <w:t>C1. Who</w:t>
            </w:r>
            <w:r>
              <w:t xml:space="preserve"> benefits from the use?</w:t>
            </w:r>
          </w:p>
          <w:p w:rsidR="003C7F86" w:rsidRDefault="003C7F86" w:rsidP="00EF4F13">
            <w:pPr>
              <w:shd w:val="clear" w:color="auto" w:fill="FFFFFF"/>
              <w:spacing w:before="100" w:beforeAutospacing="1" w:after="100" w:afterAutospacing="1" w:line="276" w:lineRule="auto"/>
            </w:pPr>
            <w:r>
              <w:t xml:space="preserve">Does it meet the social interests of the community as a whole and not </w:t>
            </w:r>
            <w:r>
              <w:lastRenderedPageBreak/>
              <w:t xml:space="preserve">simply the users/customers of the specific service? </w:t>
            </w:r>
          </w:p>
          <w:p w:rsidR="003C7F86" w:rsidRDefault="003C7F86" w:rsidP="00EF4F13">
            <w:pPr>
              <w:spacing w:line="276" w:lineRule="auto"/>
            </w:pPr>
            <w:r>
              <w:t xml:space="preserve">Who will lose if the usage ceases? </w:t>
            </w:r>
          </w:p>
        </w:tc>
        <w:tc>
          <w:tcPr>
            <w:tcW w:w="1418" w:type="dxa"/>
            <w:tcBorders>
              <w:top w:val="single" w:sz="4" w:space="0" w:color="auto"/>
              <w:left w:val="single" w:sz="4" w:space="0" w:color="auto"/>
              <w:bottom w:val="single" w:sz="4" w:space="0" w:color="auto"/>
              <w:right w:val="single" w:sz="4" w:space="0" w:color="auto"/>
            </w:tcBorders>
            <w:hideMark/>
          </w:tcPr>
          <w:p w:rsidR="003C7F86" w:rsidRDefault="003C7F86" w:rsidP="00EF4F13">
            <w:pPr>
              <w:spacing w:line="276" w:lineRule="auto"/>
            </w:pPr>
            <w:r>
              <w:lastRenderedPageBreak/>
              <w:t>25%</w:t>
            </w:r>
          </w:p>
        </w:tc>
      </w:tr>
      <w:tr w:rsidR="003C7F86" w:rsidTr="00916B5E">
        <w:trPr>
          <w:trHeight w:val="593"/>
        </w:trPr>
        <w:tc>
          <w:tcPr>
            <w:tcW w:w="7796" w:type="dxa"/>
            <w:tcBorders>
              <w:top w:val="single" w:sz="4" w:space="0" w:color="auto"/>
              <w:left w:val="single" w:sz="4" w:space="0" w:color="auto"/>
              <w:bottom w:val="single" w:sz="4" w:space="0" w:color="auto"/>
              <w:right w:val="single" w:sz="4" w:space="0" w:color="auto"/>
            </w:tcBorders>
            <w:hideMark/>
          </w:tcPr>
          <w:p w:rsidR="003C7F86" w:rsidRDefault="003C7F86" w:rsidP="00EF4F13">
            <w:pPr>
              <w:spacing w:line="276" w:lineRule="auto"/>
            </w:pPr>
            <w:r>
              <w:rPr>
                <w:b/>
              </w:rPr>
              <w:lastRenderedPageBreak/>
              <w:t xml:space="preserve">C2. </w:t>
            </w:r>
            <w:r w:rsidRPr="00D7392A">
              <w:rPr>
                <w:b/>
              </w:rPr>
              <w:t>Is</w:t>
            </w:r>
            <w:r>
              <w:t xml:space="preserve"> any aspect of the usage actively discouraged by the Council’s Policy and Budget Framework?</w:t>
            </w:r>
          </w:p>
        </w:tc>
        <w:tc>
          <w:tcPr>
            <w:tcW w:w="1418" w:type="dxa"/>
            <w:tcBorders>
              <w:top w:val="single" w:sz="4" w:space="0" w:color="auto"/>
              <w:left w:val="single" w:sz="4" w:space="0" w:color="auto"/>
              <w:bottom w:val="single" w:sz="4" w:space="0" w:color="auto"/>
              <w:right w:val="single" w:sz="4" w:space="0" w:color="auto"/>
            </w:tcBorders>
          </w:tcPr>
          <w:p w:rsidR="003C7F86" w:rsidRDefault="003C7F86" w:rsidP="00EF4F13">
            <w:pPr>
              <w:spacing w:line="276" w:lineRule="auto"/>
            </w:pPr>
            <w:r>
              <w:t>25%</w:t>
            </w:r>
          </w:p>
        </w:tc>
      </w:tr>
      <w:tr w:rsidR="003C7F86" w:rsidTr="00916B5E">
        <w:tc>
          <w:tcPr>
            <w:tcW w:w="7796" w:type="dxa"/>
            <w:tcBorders>
              <w:top w:val="single" w:sz="4" w:space="0" w:color="auto"/>
              <w:left w:val="single" w:sz="4" w:space="0" w:color="auto"/>
              <w:bottom w:val="single" w:sz="4" w:space="0" w:color="auto"/>
              <w:right w:val="single" w:sz="4" w:space="0" w:color="auto"/>
            </w:tcBorders>
            <w:hideMark/>
          </w:tcPr>
          <w:p w:rsidR="003C7F86" w:rsidRDefault="003C7F86" w:rsidP="00EF4F13">
            <w:pPr>
              <w:spacing w:line="276" w:lineRule="auto"/>
            </w:pPr>
            <w:r>
              <w:rPr>
                <w:b/>
              </w:rPr>
              <w:t>C3. Why</w:t>
            </w:r>
            <w:r>
              <w:t xml:space="preserve"> is the usage seen as having social value in the context of the community on whose behalf the application is being made?</w:t>
            </w:r>
          </w:p>
        </w:tc>
        <w:tc>
          <w:tcPr>
            <w:tcW w:w="1418" w:type="dxa"/>
            <w:tcBorders>
              <w:top w:val="single" w:sz="4" w:space="0" w:color="auto"/>
              <w:left w:val="single" w:sz="4" w:space="0" w:color="auto"/>
              <w:bottom w:val="single" w:sz="4" w:space="0" w:color="auto"/>
              <w:right w:val="single" w:sz="4" w:space="0" w:color="auto"/>
            </w:tcBorders>
            <w:hideMark/>
          </w:tcPr>
          <w:p w:rsidR="003C7F86" w:rsidRDefault="003C7F86" w:rsidP="00EF4F13">
            <w:pPr>
              <w:spacing w:line="276" w:lineRule="auto"/>
            </w:pPr>
            <w:r>
              <w:t>25%</w:t>
            </w:r>
          </w:p>
        </w:tc>
      </w:tr>
      <w:tr w:rsidR="003C7F86" w:rsidTr="00916B5E">
        <w:trPr>
          <w:trHeight w:val="634"/>
        </w:trPr>
        <w:tc>
          <w:tcPr>
            <w:tcW w:w="7796" w:type="dxa"/>
            <w:tcBorders>
              <w:top w:val="single" w:sz="4" w:space="0" w:color="auto"/>
              <w:left w:val="single" w:sz="4" w:space="0" w:color="auto"/>
              <w:bottom w:val="single" w:sz="4" w:space="0" w:color="auto"/>
              <w:right w:val="single" w:sz="4" w:space="0" w:color="auto"/>
            </w:tcBorders>
            <w:hideMark/>
          </w:tcPr>
          <w:p w:rsidR="003C7F86" w:rsidRDefault="003C7F86" w:rsidP="00EF4F13">
            <w:pPr>
              <w:spacing w:line="276" w:lineRule="auto"/>
            </w:pPr>
            <w:r>
              <w:rPr>
                <w:b/>
              </w:rPr>
              <w:t>C4. How</w:t>
            </w:r>
            <w:r>
              <w:t xml:space="preserve"> strongly does the local community feel about the usage as furthering their social interests?</w:t>
            </w:r>
          </w:p>
        </w:tc>
        <w:tc>
          <w:tcPr>
            <w:tcW w:w="1418" w:type="dxa"/>
            <w:tcBorders>
              <w:top w:val="single" w:sz="4" w:space="0" w:color="auto"/>
              <w:left w:val="single" w:sz="4" w:space="0" w:color="auto"/>
              <w:bottom w:val="single" w:sz="4" w:space="0" w:color="auto"/>
              <w:right w:val="single" w:sz="4" w:space="0" w:color="auto"/>
            </w:tcBorders>
            <w:hideMark/>
          </w:tcPr>
          <w:p w:rsidR="003C7F86" w:rsidRDefault="003C7F86" w:rsidP="00EF4F13">
            <w:pPr>
              <w:spacing w:line="276" w:lineRule="auto"/>
            </w:pPr>
            <w:r>
              <w:t>25%</w:t>
            </w:r>
          </w:p>
        </w:tc>
      </w:tr>
      <w:tr w:rsidR="003C7F86" w:rsidTr="003C7F86">
        <w:tc>
          <w:tcPr>
            <w:tcW w:w="9214" w:type="dxa"/>
            <w:gridSpan w:val="2"/>
            <w:shd w:val="clear" w:color="auto" w:fill="auto"/>
          </w:tcPr>
          <w:p w:rsidR="003C7F86" w:rsidRDefault="003C7F86" w:rsidP="00EF4F13">
            <w:pPr>
              <w:spacing w:line="276" w:lineRule="auto"/>
              <w:rPr>
                <w:b/>
              </w:rPr>
            </w:pPr>
            <w:r>
              <w:rPr>
                <w:b/>
              </w:rPr>
              <w:t>If the above meets a minimum scoring of 55%, go to Step D</w:t>
            </w:r>
          </w:p>
        </w:tc>
      </w:tr>
      <w:tr w:rsidR="003C7F86" w:rsidRPr="00073A3A" w:rsidTr="003C7F86">
        <w:tc>
          <w:tcPr>
            <w:tcW w:w="9214" w:type="dxa"/>
            <w:gridSpan w:val="2"/>
            <w:shd w:val="pct15" w:color="auto" w:fill="auto"/>
          </w:tcPr>
          <w:p w:rsidR="003C7F86" w:rsidRPr="00073A3A" w:rsidRDefault="003C7F86" w:rsidP="00EF4F13">
            <w:pPr>
              <w:spacing w:line="276" w:lineRule="auto"/>
              <w:rPr>
                <w:b/>
              </w:rPr>
            </w:pPr>
            <w:r>
              <w:rPr>
                <w:b/>
              </w:rPr>
              <w:t xml:space="preserve">STEP D – Realism of future usage </w:t>
            </w:r>
          </w:p>
        </w:tc>
      </w:tr>
      <w:tr w:rsidR="003C7F86" w:rsidRPr="006A688D" w:rsidTr="003C7F86">
        <w:tc>
          <w:tcPr>
            <w:tcW w:w="9214" w:type="dxa"/>
            <w:gridSpan w:val="2"/>
            <w:shd w:val="clear" w:color="auto" w:fill="auto"/>
          </w:tcPr>
          <w:p w:rsidR="003C7F86" w:rsidRPr="006A688D" w:rsidRDefault="003C7F86" w:rsidP="00EF4F13">
            <w:pPr>
              <w:shd w:val="clear" w:color="auto" w:fill="FFFFFF"/>
              <w:spacing w:before="100" w:beforeAutospacing="1" w:after="100" w:afterAutospacing="1" w:line="276" w:lineRule="auto"/>
              <w:rPr>
                <w:b/>
              </w:rPr>
            </w:pPr>
            <w:r>
              <w:rPr>
                <w:b/>
              </w:rPr>
              <w:t>D.</w:t>
            </w:r>
            <w:r w:rsidRPr="006A688D">
              <w:rPr>
                <w:b/>
              </w:rPr>
              <w:t xml:space="preserve"> </w:t>
            </w:r>
            <w:r>
              <w:rPr>
                <w:b/>
              </w:rPr>
              <w:t xml:space="preserve"> Is</w:t>
            </w:r>
            <w:r w:rsidRPr="006A688D">
              <w:rPr>
                <w:b/>
              </w:rPr>
              <w:t xml:space="preserve"> </w:t>
            </w:r>
            <w:r>
              <w:rPr>
                <w:b/>
              </w:rPr>
              <w:t xml:space="preserve">it </w:t>
            </w:r>
            <w:r w:rsidRPr="006A688D">
              <w:rPr>
                <w:b/>
              </w:rPr>
              <w:t xml:space="preserve">realistic to think </w:t>
            </w:r>
            <w:r>
              <w:rPr>
                <w:b/>
              </w:rPr>
              <w:t xml:space="preserve">(for “current” uses) </w:t>
            </w:r>
            <w:r w:rsidRPr="006A688D">
              <w:rPr>
                <w:b/>
              </w:rPr>
              <w:t xml:space="preserve">there will continue to be </w:t>
            </w:r>
            <w:r>
              <w:rPr>
                <w:b/>
              </w:rPr>
              <w:t xml:space="preserve">social </w:t>
            </w:r>
            <w:r w:rsidRPr="006A688D">
              <w:rPr>
                <w:b/>
              </w:rPr>
              <w:t>use of the building or other land</w:t>
            </w:r>
            <w:r>
              <w:rPr>
                <w:b/>
              </w:rPr>
              <w:t xml:space="preserve"> or (for “recent” uses) that </w:t>
            </w:r>
            <w:r w:rsidRPr="00A14FDA">
              <w:rPr>
                <w:b/>
              </w:rPr>
              <w:t>it is realistic to think that there will be community use again within the next five years</w:t>
            </w:r>
            <w:r>
              <w:rPr>
                <w:b/>
              </w:rPr>
              <w:t>?</w:t>
            </w:r>
          </w:p>
        </w:tc>
      </w:tr>
      <w:tr w:rsidR="003C7F86" w:rsidRPr="00A14FDA" w:rsidTr="003C7F86">
        <w:tc>
          <w:tcPr>
            <w:tcW w:w="9214" w:type="dxa"/>
            <w:gridSpan w:val="2"/>
            <w:shd w:val="clear" w:color="auto" w:fill="auto"/>
          </w:tcPr>
          <w:p w:rsidR="003C7F86" w:rsidRPr="00A14FDA" w:rsidRDefault="003C7F86" w:rsidP="00EF4F13">
            <w:pPr>
              <w:spacing w:line="276" w:lineRule="auto"/>
            </w:pPr>
            <w:r>
              <w:t>D1. Has the building/land-take/space/legal requirement for this usage changed significantly since its initial use so that the asset is not fit for purpose?</w:t>
            </w:r>
          </w:p>
        </w:tc>
      </w:tr>
      <w:tr w:rsidR="003C7F86" w:rsidRPr="00A14FDA" w:rsidTr="003C7F86">
        <w:tc>
          <w:tcPr>
            <w:tcW w:w="9214" w:type="dxa"/>
            <w:gridSpan w:val="2"/>
            <w:shd w:val="clear" w:color="auto" w:fill="auto"/>
          </w:tcPr>
          <w:p w:rsidR="003C7F86" w:rsidRPr="00A14FDA" w:rsidRDefault="003C7F86" w:rsidP="00EF4F13">
            <w:pPr>
              <w:spacing w:line="276" w:lineRule="auto"/>
              <w:rPr>
                <w:b/>
              </w:rPr>
            </w:pPr>
            <w:r w:rsidRPr="00A14FDA">
              <w:rPr>
                <w:b/>
              </w:rPr>
              <w:t xml:space="preserve">IF NO to D1 above, </w:t>
            </w:r>
            <w:r>
              <w:rPr>
                <w:b/>
              </w:rPr>
              <w:t>PLACE ON REGISTER OF ASSETS OF COMMUNITY VALUE</w:t>
            </w:r>
          </w:p>
        </w:tc>
      </w:tr>
      <w:tr w:rsidR="003C7F86" w:rsidRPr="00A14FDA" w:rsidTr="003C7F86">
        <w:tc>
          <w:tcPr>
            <w:tcW w:w="9214" w:type="dxa"/>
            <w:gridSpan w:val="2"/>
            <w:shd w:val="clear" w:color="auto" w:fill="auto"/>
          </w:tcPr>
          <w:p w:rsidR="003C7F86" w:rsidRPr="00A14FDA" w:rsidRDefault="003C7F86" w:rsidP="00EF4F13">
            <w:pPr>
              <w:spacing w:line="276" w:lineRule="auto"/>
              <w:rPr>
                <w:b/>
              </w:rPr>
            </w:pPr>
            <w:r w:rsidRPr="00A14FDA">
              <w:rPr>
                <w:b/>
              </w:rPr>
              <w:t>IF YES to D1 above, go to D2</w:t>
            </w:r>
          </w:p>
        </w:tc>
      </w:tr>
      <w:tr w:rsidR="003C7F86" w:rsidRPr="00A14FDA" w:rsidTr="003C7F86">
        <w:tc>
          <w:tcPr>
            <w:tcW w:w="9214" w:type="dxa"/>
            <w:gridSpan w:val="2"/>
            <w:shd w:val="clear" w:color="auto" w:fill="auto"/>
          </w:tcPr>
          <w:p w:rsidR="003C7F86" w:rsidRPr="00A14FDA" w:rsidRDefault="003C7F86" w:rsidP="00EF4F13">
            <w:pPr>
              <w:spacing w:line="276" w:lineRule="auto"/>
            </w:pPr>
            <w:r>
              <w:t>D2. Could the asset be made fit for purpose practically and within reasonable resource requirements and within timescales?</w:t>
            </w:r>
          </w:p>
        </w:tc>
      </w:tr>
      <w:tr w:rsidR="003C7F86" w:rsidRPr="00A14FDA" w:rsidTr="003C7F86">
        <w:tc>
          <w:tcPr>
            <w:tcW w:w="9214" w:type="dxa"/>
            <w:gridSpan w:val="2"/>
            <w:shd w:val="clear" w:color="auto" w:fill="auto"/>
          </w:tcPr>
          <w:p w:rsidR="003C7F86" w:rsidRPr="00A14FDA" w:rsidRDefault="003C7F86" w:rsidP="00EF4F13">
            <w:pPr>
              <w:spacing w:line="276" w:lineRule="auto"/>
              <w:rPr>
                <w:b/>
              </w:rPr>
            </w:pPr>
            <w:r w:rsidRPr="00A14FDA">
              <w:rPr>
                <w:b/>
              </w:rPr>
              <w:t xml:space="preserve">IF YES to D2 above, </w:t>
            </w:r>
            <w:r>
              <w:rPr>
                <w:b/>
              </w:rPr>
              <w:t>PLACE ON REGISTER OF ASSETS OF COMMUNITY VALUE</w:t>
            </w:r>
          </w:p>
        </w:tc>
      </w:tr>
      <w:tr w:rsidR="003C7F86" w:rsidRPr="00A14FDA" w:rsidTr="003C7F86">
        <w:tc>
          <w:tcPr>
            <w:tcW w:w="9214" w:type="dxa"/>
            <w:gridSpan w:val="2"/>
            <w:shd w:val="clear" w:color="auto" w:fill="auto"/>
          </w:tcPr>
          <w:p w:rsidR="003C7F86" w:rsidRPr="00A14FDA" w:rsidRDefault="003C7F86" w:rsidP="00EF4F13">
            <w:pPr>
              <w:spacing w:line="276" w:lineRule="auto"/>
              <w:rPr>
                <w:b/>
              </w:rPr>
            </w:pPr>
            <w:r w:rsidRPr="00A14FDA">
              <w:rPr>
                <w:b/>
              </w:rPr>
              <w:t xml:space="preserve">IF NO to D2 above, </w:t>
            </w:r>
            <w:r>
              <w:rPr>
                <w:b/>
              </w:rPr>
              <w:t>PLACE ON LIST OF UNSUCCESSFUL NOMINATIONS</w:t>
            </w:r>
          </w:p>
        </w:tc>
      </w:tr>
    </w:tbl>
    <w:p w:rsidR="00D30366" w:rsidRDefault="00D30366"/>
    <w:sectPr w:rsidR="00D30366" w:rsidSect="00916B5E">
      <w:pgSz w:w="11906" w:h="16838"/>
      <w:pgMar w:top="1276" w:right="1440" w:bottom="170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T6D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86"/>
    <w:rsid w:val="002309E4"/>
    <w:rsid w:val="002A4F34"/>
    <w:rsid w:val="003119FE"/>
    <w:rsid w:val="003C7F86"/>
    <w:rsid w:val="00677840"/>
    <w:rsid w:val="006A1C42"/>
    <w:rsid w:val="0091606B"/>
    <w:rsid w:val="00916B5E"/>
    <w:rsid w:val="00D3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86"/>
    <w:rPr>
      <w:rFonts w:ascii="Arial" w:hAnsi="Arial" w:cs="Arial"/>
      <w:sz w:val="24"/>
      <w:szCs w:val="24"/>
    </w:rPr>
  </w:style>
  <w:style w:type="paragraph" w:styleId="Heading1">
    <w:name w:val="heading 1"/>
    <w:basedOn w:val="Normal"/>
    <w:next w:val="Normal"/>
    <w:link w:val="Heading1Char"/>
    <w:qFormat/>
    <w:rsid w:val="003119FE"/>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9FE"/>
    <w:rPr>
      <w:rFonts w:ascii="Arial" w:hAnsi="Arial" w:cs="Arial"/>
      <w:b/>
      <w:bCs/>
      <w:kern w:val="32"/>
      <w:sz w:val="32"/>
      <w:szCs w:val="32"/>
      <w:lang w:eastAsia="en-GB"/>
    </w:rPr>
  </w:style>
  <w:style w:type="paragraph" w:styleId="ListParagraph">
    <w:name w:val="List Paragraph"/>
    <w:basedOn w:val="Normal"/>
    <w:uiPriority w:val="34"/>
    <w:qFormat/>
    <w:rsid w:val="003119FE"/>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3C7F86"/>
    <w:pPr>
      <w:autoSpaceDE w:val="0"/>
      <w:autoSpaceDN w:val="0"/>
    </w:pPr>
    <w:rPr>
      <w:rFonts w:eastAsia="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86"/>
    <w:rPr>
      <w:rFonts w:ascii="Arial" w:hAnsi="Arial" w:cs="Arial"/>
      <w:sz w:val="24"/>
      <w:szCs w:val="24"/>
    </w:rPr>
  </w:style>
  <w:style w:type="paragraph" w:styleId="Heading1">
    <w:name w:val="heading 1"/>
    <w:basedOn w:val="Normal"/>
    <w:next w:val="Normal"/>
    <w:link w:val="Heading1Char"/>
    <w:qFormat/>
    <w:rsid w:val="003119FE"/>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9FE"/>
    <w:rPr>
      <w:rFonts w:ascii="Arial" w:hAnsi="Arial" w:cs="Arial"/>
      <w:b/>
      <w:bCs/>
      <w:kern w:val="32"/>
      <w:sz w:val="32"/>
      <w:szCs w:val="32"/>
      <w:lang w:eastAsia="en-GB"/>
    </w:rPr>
  </w:style>
  <w:style w:type="paragraph" w:styleId="ListParagraph">
    <w:name w:val="List Paragraph"/>
    <w:basedOn w:val="Normal"/>
    <w:uiPriority w:val="34"/>
    <w:qFormat/>
    <w:rsid w:val="003119FE"/>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3C7F86"/>
    <w:pPr>
      <w:autoSpaceDE w:val="0"/>
      <w:autoSpaceDN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Wolfenden</dc:creator>
  <cp:lastModifiedBy>Mark Hayward</cp:lastModifiedBy>
  <cp:revision>2</cp:revision>
  <dcterms:created xsi:type="dcterms:W3CDTF">2015-01-14T11:22:00Z</dcterms:created>
  <dcterms:modified xsi:type="dcterms:W3CDTF">2015-01-14T11:22:00Z</dcterms:modified>
</cp:coreProperties>
</file>