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1C" w:rsidRDefault="00BE161C" w:rsidP="00494BE9">
      <w:pPr>
        <w:jc w:val="center"/>
        <w:rPr>
          <w:rFonts w:cs="Arial"/>
          <w:b/>
          <w:sz w:val="36"/>
          <w:szCs w:val="36"/>
        </w:rPr>
      </w:pPr>
      <w:r w:rsidRPr="001D6A42">
        <w:rPr>
          <w:rFonts w:cs="Arial"/>
          <w:b/>
          <w:noProof/>
          <w:sz w:val="36"/>
          <w:szCs w:val="36"/>
        </w:rPr>
        <mc:AlternateContent>
          <mc:Choice Requires="wps">
            <w:drawing>
              <wp:anchor distT="0" distB="0" distL="114300" distR="114300" simplePos="0" relativeHeight="251659264" behindDoc="0" locked="0" layoutInCell="1" allowOverlap="1" wp14:anchorId="3B368234" wp14:editId="352DCE52">
                <wp:simplePos x="0" y="0"/>
                <wp:positionH relativeFrom="column">
                  <wp:posOffset>5424805</wp:posOffset>
                </wp:positionH>
                <wp:positionV relativeFrom="paragraph">
                  <wp:posOffset>773430</wp:posOffset>
                </wp:positionV>
                <wp:extent cx="685800" cy="457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4807D9" w:rsidRPr="009A7857" w:rsidRDefault="009A7857" w:rsidP="00494BE9">
                            <w:pPr>
                              <w:jc w:val="center"/>
                              <w:rPr>
                                <w:rFonts w:cs="Arial"/>
                                <w:b/>
                                <w:sz w:val="44"/>
                                <w:szCs w:val="44"/>
                              </w:rPr>
                            </w:pPr>
                            <w:r>
                              <w:rPr>
                                <w:rFonts w:cs="Arial"/>
                                <w:b/>
                                <w:sz w:val="44"/>
                                <w:szCs w:val="44"/>
                              </w:rPr>
                              <w:t>1</w:t>
                            </w:r>
                            <w:r w:rsidR="002D1EEE">
                              <w:rPr>
                                <w:rFonts w:cs="Arial"/>
                                <w:b/>
                                <w:sz w:val="44"/>
                                <w:szCs w:val="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7.15pt;margin-top:60.9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E/JwIAAE8EAAAOAAAAZHJzL2Uyb0RvYy54bWysVNtu2zAMfR+wfxD0vtgJki416hRdugwD&#10;ugvQ7gNkWY6FyaJGKbGzrx8lp6mx7WmYHwRKpI7Ic0jf3A6dYUeFXoMt+XyWc6ashFrbfcm/Pe3e&#10;rDnzQdhaGLCq5Cfl+e3m9aub3hVqAS2YWiEjEOuL3pW8DcEVWeZlqzrhZ+CUJWcD2IlAW9xnNYqe&#10;0DuTLfL8KusBa4cglfd0ej86+SbhN42S4UvTeBWYKTnlFtKKaa3imm1uRLFH4Votz2mIf8iiE9rS&#10;oxeoexEEO6D+A6rTEsFDE2YSugyaRkuVaqBq5vlv1Ty2wqlUC5Hj3YUm//9g5efjV2S6Ju04s6Ij&#10;iZ7UENg7GNg8stM7X1DQo6OwMNBxjIyVevcA8rtnFratsHt1hwh9q0RN2aWb2eTqiOMjSNV/gpqe&#10;EYcACWhosIuARAYjdFLpdFEmpiLp8Gq9WufkkeRart6S8jG3TBTPlx368EFBx6JRciThE7g4Pvgw&#10;hj6HpOTB6HqnjUkb3Fdbg+woqEl26Tuj+2mYsawv+fVqsRrrn/r8FCJP398gOh2o243uSk7l0BeD&#10;RBFZe2/rZAehzWhTdcZSkZHGyNzIYRiqgQLjYQX1iQhFGLuappCMFvAnZz11dMn9j4NAxZn5aEmU&#10;6/lyGUcgbRKJnOHUU009wkqCKnngbDS3YRybg0O9b+mlsQ0s3JGQjU4kv2R1zpu6Nsl0nrA4FtN9&#10;inr5D2x+AQAA//8DAFBLAwQUAAYACAAAACEArO62A98AAAALAQAADwAAAGRycy9kb3ducmV2Lnht&#10;bEyPzU7DMBCE70i8g7VIXBB1mpSQhDgVQgLBDdoKrm68TSL8E2w3DW/PcoLjzoxmv6nXs9FsQh8G&#10;ZwUsFwkwtK1Tg+0E7LaP1wWwEKVVUjuLAr4xwLo5P6tlpdzJvuG0iR2jEhsqKaCPcaw4D22PRoaF&#10;G9GSd3DeyEin77jy8kTlRvM0SXJu5GDpQy9HfOix/dwcjYBi9Tx9hJfs9b3ND7qMV7fT05cX4vJi&#10;vr8DFnGOf2H4xSd0aIhp745WBaap42aVUZSMdEkbKFHmKSl7UsqsAN7U/P+G5gcAAP//AwBQSwEC&#10;LQAUAAYACAAAACEAtoM4kv4AAADhAQAAEwAAAAAAAAAAAAAAAAAAAAAAW0NvbnRlbnRfVHlwZXNd&#10;LnhtbFBLAQItABQABgAIAAAAIQA4/SH/1gAAAJQBAAALAAAAAAAAAAAAAAAAAC8BAABfcmVscy8u&#10;cmVsc1BLAQItABQABgAIAAAAIQDmbzE/JwIAAE8EAAAOAAAAAAAAAAAAAAAAAC4CAABkcnMvZTJv&#10;RG9jLnhtbFBLAQItABQABgAIAAAAIQCs7rYD3wAAAAsBAAAPAAAAAAAAAAAAAAAAAIEEAABkcnMv&#10;ZG93bnJldi54bWxQSwUGAAAAAAQABADzAAAAjQUAAAAA&#10;">
                <v:textbox>
                  <w:txbxContent>
                    <w:p w:rsidR="004807D9" w:rsidRPr="009A7857" w:rsidRDefault="009A7857" w:rsidP="00494BE9">
                      <w:pPr>
                        <w:jc w:val="center"/>
                        <w:rPr>
                          <w:rFonts w:cs="Arial"/>
                          <w:b/>
                          <w:sz w:val="44"/>
                          <w:szCs w:val="44"/>
                        </w:rPr>
                      </w:pPr>
                      <w:r>
                        <w:rPr>
                          <w:rFonts w:cs="Arial"/>
                          <w:b/>
                          <w:sz w:val="44"/>
                          <w:szCs w:val="44"/>
                        </w:rPr>
                        <w:t>1</w:t>
                      </w:r>
                      <w:r w:rsidR="002D1EEE">
                        <w:rPr>
                          <w:rFonts w:cs="Arial"/>
                          <w:b/>
                          <w:sz w:val="44"/>
                          <w:szCs w:val="44"/>
                        </w:rPr>
                        <w:t>4</w:t>
                      </w:r>
                    </w:p>
                  </w:txbxContent>
                </v:textbox>
              </v:shape>
            </w:pict>
          </mc:Fallback>
        </mc:AlternateContent>
      </w:r>
    </w:p>
    <w:p w:rsidR="00494BE9" w:rsidRPr="001D6A42" w:rsidRDefault="00494BE9" w:rsidP="00494BE9">
      <w:pPr>
        <w:jc w:val="center"/>
        <w:rPr>
          <w:rFonts w:cs="Arial"/>
          <w:b/>
          <w:sz w:val="36"/>
          <w:szCs w:val="36"/>
        </w:rPr>
      </w:pPr>
      <w:r w:rsidRPr="001D6A42">
        <w:rPr>
          <w:rFonts w:cs="Arial"/>
          <w:b/>
          <w:sz w:val="36"/>
          <w:szCs w:val="36"/>
        </w:rPr>
        <w:t>School Forum</w:t>
      </w:r>
    </w:p>
    <w:p w:rsidR="00494BE9" w:rsidRPr="001D6A42" w:rsidRDefault="00BE161C" w:rsidP="00494BE9">
      <w:pPr>
        <w:jc w:val="center"/>
        <w:rPr>
          <w:rFonts w:cs="Arial"/>
          <w:b/>
          <w:sz w:val="36"/>
          <w:szCs w:val="36"/>
        </w:rPr>
      </w:pPr>
      <w:r>
        <w:rPr>
          <w:rFonts w:cs="Arial"/>
          <w:b/>
          <w:sz w:val="36"/>
          <w:szCs w:val="36"/>
        </w:rPr>
        <w:t>November 17th</w:t>
      </w:r>
      <w:bookmarkStart w:id="0" w:name="_GoBack"/>
      <w:bookmarkEnd w:id="0"/>
      <w:r w:rsidR="008D1383">
        <w:rPr>
          <w:rFonts w:cs="Arial"/>
          <w:b/>
          <w:sz w:val="36"/>
          <w:szCs w:val="36"/>
        </w:rPr>
        <w:t xml:space="preserve"> </w:t>
      </w:r>
      <w:r w:rsidR="00494BE9" w:rsidRPr="001D6A42">
        <w:rPr>
          <w:rFonts w:cs="Arial"/>
          <w:b/>
          <w:sz w:val="36"/>
          <w:szCs w:val="36"/>
        </w:rPr>
        <w:t xml:space="preserve"> 201</w:t>
      </w:r>
      <w:r w:rsidR="00F01E41">
        <w:rPr>
          <w:rFonts w:cs="Arial"/>
          <w:b/>
          <w:sz w:val="36"/>
          <w:szCs w:val="36"/>
        </w:rPr>
        <w:t>5</w:t>
      </w:r>
    </w:p>
    <w:p w:rsidR="00494BE9" w:rsidRPr="00494BE9" w:rsidRDefault="00494BE9" w:rsidP="00494BE9">
      <w:pPr>
        <w:jc w:val="center"/>
        <w:rPr>
          <w:rFonts w:ascii="Times New Roman" w:hAnsi="Times New Roman"/>
        </w:rPr>
      </w:pPr>
    </w:p>
    <w:p w:rsidR="00494BE9" w:rsidRPr="00494BE9" w:rsidRDefault="00494BE9" w:rsidP="00494BE9">
      <w:pPr>
        <w:rPr>
          <w:rFonts w:ascii="Times New Roman" w:hAnsi="Times New Roman"/>
        </w:rPr>
      </w:pPr>
    </w:p>
    <w:p w:rsidR="00494BE9" w:rsidRDefault="00A170F7" w:rsidP="00494BE9">
      <w:pPr>
        <w:jc w:val="center"/>
        <w:rPr>
          <w:rFonts w:cs="Arial"/>
          <w:b/>
        </w:rPr>
      </w:pPr>
      <w:r>
        <w:rPr>
          <w:rFonts w:cs="Arial"/>
          <w:b/>
        </w:rPr>
        <w:t>School Funding Reform- De-delegation of services</w:t>
      </w:r>
    </w:p>
    <w:p w:rsidR="00494BE9" w:rsidRPr="0004506E" w:rsidRDefault="00494BE9" w:rsidP="00494BE9">
      <w:pPr>
        <w:jc w:val="center"/>
        <w:rPr>
          <w:rFonts w:cs="Arial"/>
          <w:b/>
        </w:rPr>
      </w:pPr>
    </w:p>
    <w:tbl>
      <w:tblPr>
        <w:tblW w:w="0" w:type="auto"/>
        <w:tblCellSpacing w:w="20" w:type="dxa"/>
        <w:tblInd w:w="163" w:type="dxa"/>
        <w:tblBorders>
          <w:top w:val="inset" w:sz="12" w:space="0" w:color="000080"/>
          <w:left w:val="inset" w:sz="12" w:space="0" w:color="000080"/>
          <w:bottom w:val="outset" w:sz="12" w:space="0" w:color="000080"/>
          <w:right w:val="outset" w:sz="12" w:space="0" w:color="000080"/>
          <w:insideH w:val="single" w:sz="6" w:space="0" w:color="000080"/>
          <w:insideV w:val="single" w:sz="6" w:space="0" w:color="000080"/>
        </w:tblBorders>
        <w:tblLook w:val="01E0" w:firstRow="1" w:lastRow="1" w:firstColumn="1" w:lastColumn="1" w:noHBand="0" w:noVBand="0"/>
      </w:tblPr>
      <w:tblGrid>
        <w:gridCol w:w="2413"/>
        <w:gridCol w:w="6086"/>
      </w:tblGrid>
      <w:tr w:rsidR="00494BE9" w:rsidRPr="00494BE9" w:rsidTr="00494BE9">
        <w:trPr>
          <w:tblCellSpacing w:w="20" w:type="dxa"/>
        </w:trPr>
        <w:tc>
          <w:tcPr>
            <w:tcW w:w="2353" w:type="dxa"/>
            <w:shd w:val="clear" w:color="auto" w:fill="E1E1FF"/>
          </w:tcPr>
          <w:p w:rsidR="00494BE9" w:rsidRPr="00494BE9" w:rsidRDefault="00494BE9" w:rsidP="00494BE9">
            <w:pPr>
              <w:rPr>
                <w:rFonts w:ascii="Arial Narrow" w:hAnsi="Arial Narrow"/>
                <w:b/>
                <w:sz w:val="28"/>
                <w:szCs w:val="28"/>
              </w:rPr>
            </w:pPr>
            <w:r w:rsidRPr="00494BE9">
              <w:rPr>
                <w:rFonts w:ascii="Arial Narrow" w:hAnsi="Arial Narrow"/>
                <w:b/>
                <w:sz w:val="28"/>
                <w:szCs w:val="28"/>
              </w:rPr>
              <w:t>Lead Officer</w:t>
            </w:r>
          </w:p>
        </w:tc>
        <w:tc>
          <w:tcPr>
            <w:tcW w:w="6026" w:type="dxa"/>
            <w:shd w:val="clear" w:color="auto" w:fill="auto"/>
          </w:tcPr>
          <w:p w:rsidR="00494BE9" w:rsidRPr="00494BE9" w:rsidRDefault="00494BE9" w:rsidP="00494BE9">
            <w:pPr>
              <w:jc w:val="center"/>
              <w:rPr>
                <w:rFonts w:ascii="Arial Narrow" w:hAnsi="Arial Narrow"/>
                <w:b/>
              </w:rPr>
            </w:pPr>
            <w:r w:rsidRPr="00494BE9">
              <w:rPr>
                <w:rFonts w:ascii="Arial Narrow" w:hAnsi="Arial Narrow"/>
                <w:b/>
              </w:rPr>
              <w:t>Richard Morgan</w:t>
            </w:r>
          </w:p>
        </w:tc>
      </w:tr>
      <w:tr w:rsidR="00494BE9" w:rsidRPr="00494BE9" w:rsidTr="00494BE9">
        <w:trPr>
          <w:tblCellSpacing w:w="20" w:type="dxa"/>
        </w:trPr>
        <w:tc>
          <w:tcPr>
            <w:tcW w:w="2353" w:type="dxa"/>
            <w:shd w:val="clear" w:color="auto" w:fill="E1E1FF"/>
          </w:tcPr>
          <w:p w:rsidR="00494BE9" w:rsidRPr="00494BE9" w:rsidRDefault="00494BE9" w:rsidP="00494BE9">
            <w:pPr>
              <w:rPr>
                <w:rFonts w:ascii="Arial Narrow" w:hAnsi="Arial Narrow"/>
                <w:b/>
                <w:sz w:val="28"/>
                <w:szCs w:val="28"/>
              </w:rPr>
            </w:pPr>
            <w:r w:rsidRPr="00494BE9">
              <w:rPr>
                <w:rFonts w:ascii="Arial Narrow" w:hAnsi="Arial Narrow"/>
                <w:b/>
                <w:sz w:val="28"/>
                <w:szCs w:val="28"/>
              </w:rPr>
              <w:t>Contact details</w:t>
            </w:r>
          </w:p>
        </w:tc>
        <w:tc>
          <w:tcPr>
            <w:tcW w:w="6026" w:type="dxa"/>
            <w:shd w:val="clear" w:color="auto" w:fill="auto"/>
          </w:tcPr>
          <w:p w:rsidR="00494BE9" w:rsidRPr="00494BE9" w:rsidRDefault="00BE161C" w:rsidP="00494BE9">
            <w:pPr>
              <w:jc w:val="center"/>
              <w:rPr>
                <w:rFonts w:ascii="Arial Narrow" w:hAnsi="Arial Narrow"/>
                <w:b/>
                <w:lang w:val="de-DE"/>
              </w:rPr>
            </w:pPr>
            <w:hyperlink r:id="rId9" w:history="1">
              <w:r w:rsidR="00494BE9" w:rsidRPr="00494BE9">
                <w:rPr>
                  <w:rFonts w:ascii="Arial Narrow" w:hAnsi="Arial Narrow"/>
                  <w:b/>
                  <w:color w:val="0000FF"/>
                  <w:u w:val="single"/>
                  <w:lang w:val="de-DE"/>
                </w:rPr>
                <w:t>Richard_morgan@bathnes.gov.uk</w:t>
              </w:r>
            </w:hyperlink>
            <w:r w:rsidR="00494BE9" w:rsidRPr="00494BE9">
              <w:rPr>
                <w:rFonts w:ascii="Arial Narrow" w:hAnsi="Arial Narrow"/>
                <w:b/>
                <w:lang w:val="de-DE"/>
              </w:rPr>
              <w:t xml:space="preserve">  Tel 01225 395220</w:t>
            </w:r>
          </w:p>
        </w:tc>
      </w:tr>
      <w:tr w:rsidR="00494BE9" w:rsidRPr="00494BE9" w:rsidTr="00494BE9">
        <w:trPr>
          <w:tblCellSpacing w:w="20" w:type="dxa"/>
        </w:trPr>
        <w:tc>
          <w:tcPr>
            <w:tcW w:w="2353" w:type="dxa"/>
            <w:shd w:val="clear" w:color="auto" w:fill="E1E1FF"/>
          </w:tcPr>
          <w:p w:rsidR="00494BE9" w:rsidRPr="00494BE9" w:rsidRDefault="00494BE9" w:rsidP="00494BE9">
            <w:pPr>
              <w:rPr>
                <w:rFonts w:ascii="Arial Narrow" w:hAnsi="Arial Narrow"/>
                <w:b/>
                <w:sz w:val="28"/>
                <w:szCs w:val="28"/>
              </w:rPr>
            </w:pPr>
            <w:r w:rsidRPr="00494BE9">
              <w:rPr>
                <w:rFonts w:ascii="Arial Narrow" w:hAnsi="Arial Narrow"/>
                <w:b/>
                <w:sz w:val="28"/>
                <w:szCs w:val="28"/>
              </w:rPr>
              <w:t>Forum asked to decide / steer / be informed</w:t>
            </w:r>
          </w:p>
        </w:tc>
        <w:tc>
          <w:tcPr>
            <w:tcW w:w="6026" w:type="dxa"/>
            <w:shd w:val="clear" w:color="auto" w:fill="auto"/>
          </w:tcPr>
          <w:p w:rsidR="00494BE9" w:rsidRPr="00494BE9" w:rsidRDefault="00494BE9" w:rsidP="00494BE9">
            <w:pPr>
              <w:jc w:val="center"/>
              <w:rPr>
                <w:rFonts w:ascii="Arial Narrow" w:hAnsi="Arial Narrow"/>
                <w:b/>
              </w:rPr>
            </w:pPr>
          </w:p>
          <w:p w:rsidR="00494BE9" w:rsidRDefault="00494BE9" w:rsidP="00A170F7">
            <w:pPr>
              <w:jc w:val="center"/>
              <w:rPr>
                <w:rFonts w:ascii="Arial Narrow" w:hAnsi="Arial Narrow"/>
                <w:b/>
              </w:rPr>
            </w:pPr>
            <w:r>
              <w:rPr>
                <w:rFonts w:ascii="Arial Narrow" w:hAnsi="Arial Narrow"/>
                <w:b/>
              </w:rPr>
              <w:t xml:space="preserve">Forum to </w:t>
            </w:r>
            <w:r w:rsidR="00A170F7">
              <w:rPr>
                <w:rFonts w:ascii="Arial Narrow" w:hAnsi="Arial Narrow"/>
                <w:b/>
              </w:rPr>
              <w:t>decide on service areas to de-delegate</w:t>
            </w:r>
          </w:p>
          <w:p w:rsidR="00A170F7" w:rsidRPr="00494BE9" w:rsidRDefault="00A170F7" w:rsidP="00A170F7">
            <w:pPr>
              <w:jc w:val="center"/>
              <w:rPr>
                <w:rFonts w:ascii="Arial Narrow" w:hAnsi="Arial Narrow"/>
                <w:b/>
              </w:rPr>
            </w:pPr>
          </w:p>
        </w:tc>
      </w:tr>
      <w:tr w:rsidR="00494BE9" w:rsidRPr="00494BE9" w:rsidTr="00494BE9">
        <w:trPr>
          <w:tblCellSpacing w:w="20" w:type="dxa"/>
        </w:trPr>
        <w:tc>
          <w:tcPr>
            <w:tcW w:w="2353" w:type="dxa"/>
            <w:shd w:val="clear" w:color="auto" w:fill="E1E1FF"/>
          </w:tcPr>
          <w:p w:rsidR="00494BE9" w:rsidRPr="00494BE9" w:rsidRDefault="00494BE9" w:rsidP="00494BE9">
            <w:pPr>
              <w:rPr>
                <w:rFonts w:ascii="Arial Narrow" w:hAnsi="Arial Narrow"/>
                <w:b/>
                <w:sz w:val="28"/>
                <w:szCs w:val="28"/>
              </w:rPr>
            </w:pPr>
            <w:r w:rsidRPr="00494BE9">
              <w:rPr>
                <w:rFonts w:ascii="Arial Narrow" w:hAnsi="Arial Narrow"/>
                <w:b/>
                <w:sz w:val="28"/>
                <w:szCs w:val="28"/>
              </w:rPr>
              <w:t>Time Needed</w:t>
            </w:r>
          </w:p>
        </w:tc>
        <w:tc>
          <w:tcPr>
            <w:tcW w:w="6026" w:type="dxa"/>
            <w:shd w:val="clear" w:color="auto" w:fill="auto"/>
          </w:tcPr>
          <w:p w:rsidR="00494BE9" w:rsidRPr="00494BE9" w:rsidRDefault="00843E4F" w:rsidP="00494BE9">
            <w:pPr>
              <w:jc w:val="center"/>
              <w:rPr>
                <w:rFonts w:ascii="Arial Narrow" w:hAnsi="Arial Narrow"/>
                <w:b/>
              </w:rPr>
            </w:pPr>
            <w:r>
              <w:rPr>
                <w:rFonts w:ascii="Arial Narrow" w:hAnsi="Arial Narrow"/>
                <w:b/>
              </w:rPr>
              <w:t>15 minutes</w:t>
            </w:r>
          </w:p>
        </w:tc>
      </w:tr>
    </w:tbl>
    <w:p w:rsidR="00494BE9" w:rsidRPr="00494BE9" w:rsidRDefault="00494BE9" w:rsidP="00494BE9">
      <w:pPr>
        <w:rPr>
          <w:rFonts w:ascii="Arial Narrow" w:hAnsi="Arial Narrow"/>
          <w:b/>
        </w:rPr>
      </w:pPr>
    </w:p>
    <w:p w:rsidR="0098271E" w:rsidRDefault="00A170F7">
      <w:pPr>
        <w:rPr>
          <w:rFonts w:cs="Arial"/>
        </w:rPr>
      </w:pPr>
      <w:r w:rsidRPr="00A170F7">
        <w:rPr>
          <w:rFonts w:cs="Arial"/>
        </w:rPr>
        <w:t>As part of the School Funding Reform requirements schools forum is required to decide on which services (that are allowed) should be de-delegated. The decision making is restricted into primary and secondary issues and forum members can only vote on their own sector issues.</w:t>
      </w:r>
    </w:p>
    <w:p w:rsidR="00A170F7" w:rsidRDefault="00A170F7">
      <w:pPr>
        <w:rPr>
          <w:rFonts w:cs="Arial"/>
        </w:rPr>
      </w:pPr>
    </w:p>
    <w:p w:rsidR="00A170F7" w:rsidRDefault="00F01E41">
      <w:pPr>
        <w:rPr>
          <w:rFonts w:cs="Arial"/>
        </w:rPr>
      </w:pPr>
      <w:r>
        <w:rPr>
          <w:rFonts w:cs="Arial"/>
        </w:rPr>
        <w:t>For</w:t>
      </w:r>
      <w:r w:rsidR="00843E4F">
        <w:rPr>
          <w:rFonts w:cs="Arial"/>
        </w:rPr>
        <w:t xml:space="preserve"> 201</w:t>
      </w:r>
      <w:r>
        <w:rPr>
          <w:rFonts w:cs="Arial"/>
        </w:rPr>
        <w:t>5</w:t>
      </w:r>
      <w:r w:rsidR="00843E4F">
        <w:rPr>
          <w:rFonts w:cs="Arial"/>
        </w:rPr>
        <w:t>-1</w:t>
      </w:r>
      <w:r w:rsidR="007A278F">
        <w:rPr>
          <w:rFonts w:cs="Arial"/>
        </w:rPr>
        <w:t>6</w:t>
      </w:r>
      <w:r w:rsidR="00843E4F">
        <w:rPr>
          <w:rFonts w:cs="Arial"/>
        </w:rPr>
        <w:t xml:space="preserve"> the forum agreed to the following de delegations. For 201</w:t>
      </w:r>
      <w:r>
        <w:rPr>
          <w:rFonts w:cs="Arial"/>
        </w:rPr>
        <w:t>6</w:t>
      </w:r>
      <w:r w:rsidR="00843E4F">
        <w:rPr>
          <w:rFonts w:cs="Arial"/>
        </w:rPr>
        <w:t>-1</w:t>
      </w:r>
      <w:r>
        <w:rPr>
          <w:rFonts w:cs="Arial"/>
        </w:rPr>
        <w:t>7</w:t>
      </w:r>
      <w:r w:rsidR="00843E4F">
        <w:rPr>
          <w:rFonts w:cs="Arial"/>
        </w:rPr>
        <w:t xml:space="preserve"> the forum is required to decide again on which items (that are allowed) should be de-delegated. </w:t>
      </w:r>
    </w:p>
    <w:p w:rsidR="000B5851" w:rsidRDefault="000B5851">
      <w:pPr>
        <w:rPr>
          <w:rFonts w:cs="Arial"/>
        </w:rPr>
      </w:pPr>
    </w:p>
    <w:p w:rsidR="00D27C57" w:rsidRDefault="00C61C02" w:rsidP="00D27C57">
      <w:pPr>
        <w:rPr>
          <w:b/>
          <w:u w:val="single"/>
        </w:rPr>
      </w:pPr>
      <w:r>
        <w:rPr>
          <w:b/>
          <w:u w:val="single"/>
        </w:rPr>
        <w:t xml:space="preserve">Value of </w:t>
      </w:r>
      <w:r w:rsidR="00843E4F">
        <w:rPr>
          <w:b/>
          <w:u w:val="single"/>
        </w:rPr>
        <w:t>De-delegat</w:t>
      </w:r>
      <w:r>
        <w:rPr>
          <w:b/>
          <w:u w:val="single"/>
        </w:rPr>
        <w:t>ions to maintained schools</w:t>
      </w:r>
      <w:r w:rsidR="00843E4F">
        <w:rPr>
          <w:b/>
          <w:u w:val="single"/>
        </w:rPr>
        <w:t xml:space="preserve"> in </w:t>
      </w:r>
      <w:r>
        <w:rPr>
          <w:b/>
          <w:u w:val="single"/>
        </w:rPr>
        <w:t>FY</w:t>
      </w:r>
      <w:r w:rsidR="00843E4F">
        <w:rPr>
          <w:b/>
          <w:u w:val="single"/>
        </w:rPr>
        <w:t>201</w:t>
      </w:r>
      <w:r w:rsidR="00F01E41">
        <w:rPr>
          <w:b/>
          <w:u w:val="single"/>
        </w:rPr>
        <w:t>5</w:t>
      </w:r>
      <w:r w:rsidR="00843E4F">
        <w:rPr>
          <w:b/>
          <w:u w:val="single"/>
        </w:rPr>
        <w:t>-1</w:t>
      </w:r>
      <w:r w:rsidR="00F01E41">
        <w:rPr>
          <w:b/>
          <w:u w:val="single"/>
        </w:rPr>
        <w:t>6</w:t>
      </w:r>
    </w:p>
    <w:p w:rsidR="00843E4F" w:rsidRPr="00D27C57" w:rsidRDefault="00843E4F" w:rsidP="00D27C57">
      <w:pPr>
        <w:rPr>
          <w:b/>
          <w:u w:val="single"/>
        </w:rPr>
      </w:pPr>
    </w:p>
    <w:tbl>
      <w:tblPr>
        <w:tblStyle w:val="TableGrid"/>
        <w:tblW w:w="9640" w:type="dxa"/>
        <w:tblInd w:w="-176" w:type="dxa"/>
        <w:tblLayout w:type="fixed"/>
        <w:tblLook w:val="04A0" w:firstRow="1" w:lastRow="0" w:firstColumn="1" w:lastColumn="0" w:noHBand="0" w:noVBand="1"/>
      </w:tblPr>
      <w:tblGrid>
        <w:gridCol w:w="1418"/>
        <w:gridCol w:w="1701"/>
        <w:gridCol w:w="1276"/>
        <w:gridCol w:w="1418"/>
        <w:gridCol w:w="1701"/>
        <w:gridCol w:w="2126"/>
      </w:tblGrid>
      <w:tr w:rsidR="00563F69" w:rsidRPr="00D27C57" w:rsidTr="00292F50">
        <w:trPr>
          <w:trHeight w:val="636"/>
        </w:trPr>
        <w:tc>
          <w:tcPr>
            <w:tcW w:w="1418" w:type="dxa"/>
          </w:tcPr>
          <w:p w:rsidR="00563F69" w:rsidRPr="00D27C57" w:rsidRDefault="00563F69" w:rsidP="00D27C57">
            <w:r w:rsidRPr="00D27C57">
              <w:t>Description</w:t>
            </w:r>
          </w:p>
        </w:tc>
        <w:tc>
          <w:tcPr>
            <w:tcW w:w="1701" w:type="dxa"/>
          </w:tcPr>
          <w:p w:rsidR="00563F69" w:rsidRPr="00D27C57" w:rsidRDefault="00563F69" w:rsidP="00D27C57">
            <w:r w:rsidRPr="00D27C57">
              <w:t>Detail</w:t>
            </w:r>
          </w:p>
        </w:tc>
        <w:tc>
          <w:tcPr>
            <w:tcW w:w="1276" w:type="dxa"/>
          </w:tcPr>
          <w:p w:rsidR="00563F69" w:rsidRPr="00D27C57" w:rsidRDefault="00563F69" w:rsidP="00D27C57">
            <w:r w:rsidRPr="00D27C57">
              <w:t>Amount</w:t>
            </w:r>
          </w:p>
          <w:p w:rsidR="00563F69" w:rsidRPr="00D27C57" w:rsidRDefault="00563F69" w:rsidP="00D27C57">
            <w:r w:rsidRPr="00D27C57">
              <w:t>Primary</w:t>
            </w:r>
          </w:p>
        </w:tc>
        <w:tc>
          <w:tcPr>
            <w:tcW w:w="1418" w:type="dxa"/>
          </w:tcPr>
          <w:p w:rsidR="00563F69" w:rsidRPr="00D27C57" w:rsidRDefault="00563F69" w:rsidP="00D27C57">
            <w:r w:rsidRPr="00D27C57">
              <w:t>Amount Secondary</w:t>
            </w:r>
          </w:p>
        </w:tc>
        <w:tc>
          <w:tcPr>
            <w:tcW w:w="1701" w:type="dxa"/>
          </w:tcPr>
          <w:p w:rsidR="00563F69" w:rsidRPr="00D27C57" w:rsidRDefault="00563F69" w:rsidP="00D27C57">
            <w:r w:rsidRPr="00D27C57">
              <w:t>Methodology of delegation</w:t>
            </w:r>
          </w:p>
        </w:tc>
        <w:tc>
          <w:tcPr>
            <w:tcW w:w="2126" w:type="dxa"/>
          </w:tcPr>
          <w:p w:rsidR="00563F69" w:rsidRPr="00D27C57" w:rsidRDefault="00563F69" w:rsidP="00D27C57">
            <w:r w:rsidRPr="00D27C57">
              <w:t>De-Delegation Issues</w:t>
            </w:r>
          </w:p>
        </w:tc>
      </w:tr>
      <w:tr w:rsidR="00563F69" w:rsidRPr="00D27C57" w:rsidTr="00292F50">
        <w:tc>
          <w:tcPr>
            <w:tcW w:w="1418" w:type="dxa"/>
          </w:tcPr>
          <w:p w:rsidR="00563F69" w:rsidRPr="00D27C57" w:rsidRDefault="00563F69" w:rsidP="00D27C57">
            <w:r w:rsidRPr="00D27C57">
              <w:t>HCSS</w:t>
            </w:r>
          </w:p>
        </w:tc>
        <w:tc>
          <w:tcPr>
            <w:tcW w:w="1701" w:type="dxa"/>
          </w:tcPr>
          <w:p w:rsidR="00563F69" w:rsidRPr="00D27C57" w:rsidRDefault="00563F69" w:rsidP="00D27C57">
            <w:r w:rsidRPr="00D27C57">
              <w:t>Licence for budget management software</w:t>
            </w:r>
          </w:p>
        </w:tc>
        <w:tc>
          <w:tcPr>
            <w:tcW w:w="1276" w:type="dxa"/>
          </w:tcPr>
          <w:p w:rsidR="00563F69" w:rsidRPr="00D27C57" w:rsidRDefault="00563F69" w:rsidP="00F01E41">
            <w:r w:rsidRPr="00D27C57">
              <w:t>£</w:t>
            </w:r>
            <w:r>
              <w:t>18,</w:t>
            </w:r>
            <w:r w:rsidR="00F01E41">
              <w:t>734</w:t>
            </w:r>
          </w:p>
        </w:tc>
        <w:tc>
          <w:tcPr>
            <w:tcW w:w="1418" w:type="dxa"/>
          </w:tcPr>
          <w:p w:rsidR="00563F69" w:rsidRPr="00D27C57" w:rsidRDefault="00563F69" w:rsidP="00563F69">
            <w:r w:rsidRPr="00D27C57">
              <w:t>£</w:t>
            </w:r>
            <w:r>
              <w:t>960</w:t>
            </w:r>
          </w:p>
        </w:tc>
        <w:tc>
          <w:tcPr>
            <w:tcW w:w="1701" w:type="dxa"/>
          </w:tcPr>
          <w:p w:rsidR="00563F69" w:rsidRPr="00D27C57" w:rsidRDefault="00563F69" w:rsidP="00D27C57">
            <w:r w:rsidRPr="00D27C57">
              <w:t>Lump sum per school</w:t>
            </w:r>
          </w:p>
          <w:p w:rsidR="00563F69" w:rsidRPr="00D27C57" w:rsidRDefault="00563F69" w:rsidP="00F01E41">
            <w:r w:rsidRPr="00D27C57">
              <w:t>£32</w:t>
            </w:r>
            <w:r w:rsidR="00F01E41">
              <w:t>3</w:t>
            </w:r>
          </w:p>
        </w:tc>
        <w:tc>
          <w:tcPr>
            <w:tcW w:w="2126" w:type="dxa"/>
          </w:tcPr>
          <w:p w:rsidR="00563F69" w:rsidRPr="00D27C57" w:rsidRDefault="00F01E41" w:rsidP="00F01E41">
            <w:r>
              <w:t>De-delegation a</w:t>
            </w:r>
            <w:r w:rsidR="00563F69" w:rsidRPr="00D27C57">
              <w:t xml:space="preserve">s use of HCSS is prescribed by LA though the scheme and efficiency can be obtained from bulk purchasing </w:t>
            </w:r>
          </w:p>
        </w:tc>
      </w:tr>
      <w:tr w:rsidR="00563F69" w:rsidRPr="00D27C57" w:rsidTr="00292F50">
        <w:tc>
          <w:tcPr>
            <w:tcW w:w="1418" w:type="dxa"/>
          </w:tcPr>
          <w:p w:rsidR="00563F69" w:rsidRPr="00D27C57" w:rsidRDefault="00563F69" w:rsidP="00D27C57">
            <w:r w:rsidRPr="00D27C57">
              <w:t>Pupil Retention Grant – Primary Only</w:t>
            </w:r>
          </w:p>
        </w:tc>
        <w:tc>
          <w:tcPr>
            <w:tcW w:w="1701" w:type="dxa"/>
          </w:tcPr>
          <w:p w:rsidR="00563F69" w:rsidRPr="00D27C57" w:rsidRDefault="00563F69" w:rsidP="00D27C57">
            <w:r w:rsidRPr="00D27C57">
              <w:t>Resources to support behaviour management</w:t>
            </w:r>
          </w:p>
        </w:tc>
        <w:tc>
          <w:tcPr>
            <w:tcW w:w="1276" w:type="dxa"/>
          </w:tcPr>
          <w:p w:rsidR="00563F69" w:rsidRPr="00D27C57" w:rsidRDefault="00563F69" w:rsidP="00F01E41">
            <w:r w:rsidRPr="00D27C57">
              <w:t>£</w:t>
            </w:r>
            <w:r w:rsidR="003B6ABF">
              <w:t>93,</w:t>
            </w:r>
            <w:r w:rsidR="00F01E41">
              <w:t>406</w:t>
            </w:r>
          </w:p>
        </w:tc>
        <w:tc>
          <w:tcPr>
            <w:tcW w:w="1418" w:type="dxa"/>
          </w:tcPr>
          <w:p w:rsidR="00563F69" w:rsidRPr="00D27C57" w:rsidRDefault="00563F69" w:rsidP="00D27C57">
            <w:r>
              <w:t>£0</w:t>
            </w:r>
          </w:p>
        </w:tc>
        <w:tc>
          <w:tcPr>
            <w:tcW w:w="1701" w:type="dxa"/>
          </w:tcPr>
          <w:p w:rsidR="00563F69" w:rsidRPr="00D27C57" w:rsidRDefault="00563F69" w:rsidP="00D27C57">
            <w:r w:rsidRPr="00D27C57">
              <w:t>Per pupil</w:t>
            </w:r>
          </w:p>
          <w:p w:rsidR="00563F69" w:rsidRPr="00D27C57" w:rsidRDefault="00563F69" w:rsidP="00D27C57">
            <w:r w:rsidRPr="00D27C57">
              <w:t>Primary £8.</w:t>
            </w:r>
            <w:r w:rsidR="003B6ABF">
              <w:t>2</w:t>
            </w:r>
            <w:r w:rsidR="00F01E41">
              <w:t>0</w:t>
            </w:r>
          </w:p>
          <w:p w:rsidR="00563F69" w:rsidRPr="00D27C57" w:rsidRDefault="00563F69" w:rsidP="00D27C57"/>
        </w:tc>
        <w:tc>
          <w:tcPr>
            <w:tcW w:w="2126" w:type="dxa"/>
          </w:tcPr>
          <w:p w:rsidR="00563F69" w:rsidRPr="00D27C57" w:rsidRDefault="00563F69" w:rsidP="00F01E41">
            <w:r w:rsidRPr="00D27C57">
              <w:t>De delegation is for the primary element</w:t>
            </w:r>
            <w:r w:rsidR="00F01E41">
              <w:t xml:space="preserve"> only</w:t>
            </w:r>
            <w:r w:rsidRPr="00D27C57">
              <w:t xml:space="preserve"> to pass to the area panels. </w:t>
            </w:r>
          </w:p>
        </w:tc>
      </w:tr>
      <w:tr w:rsidR="00563F69" w:rsidRPr="00D27C57" w:rsidTr="00292F50">
        <w:tc>
          <w:tcPr>
            <w:tcW w:w="1418" w:type="dxa"/>
          </w:tcPr>
          <w:p w:rsidR="00563F69" w:rsidRPr="00D27C57" w:rsidRDefault="00563F69" w:rsidP="00D27C57">
            <w:r w:rsidRPr="00D27C57">
              <w:t>Behaviour Support Services</w:t>
            </w:r>
          </w:p>
        </w:tc>
        <w:tc>
          <w:tcPr>
            <w:tcW w:w="1701" w:type="dxa"/>
          </w:tcPr>
          <w:p w:rsidR="00563F69" w:rsidRPr="00D27C57" w:rsidRDefault="00563F69" w:rsidP="00D27C57">
            <w:r w:rsidRPr="00D27C57">
              <w:t xml:space="preserve">resources currently allocated to area panels </w:t>
            </w:r>
            <w:r w:rsidRPr="00D27C57">
              <w:lastRenderedPageBreak/>
              <w:t>to support pupils with behaviour difficulties</w:t>
            </w:r>
          </w:p>
        </w:tc>
        <w:tc>
          <w:tcPr>
            <w:tcW w:w="1276" w:type="dxa"/>
          </w:tcPr>
          <w:p w:rsidR="00563F69" w:rsidRPr="00D27C57" w:rsidRDefault="00563F69" w:rsidP="00F01E41">
            <w:r w:rsidRPr="00D27C57">
              <w:lastRenderedPageBreak/>
              <w:t>£</w:t>
            </w:r>
            <w:r w:rsidR="00F01E41">
              <w:t>423,517</w:t>
            </w:r>
          </w:p>
        </w:tc>
        <w:tc>
          <w:tcPr>
            <w:tcW w:w="1418" w:type="dxa"/>
          </w:tcPr>
          <w:p w:rsidR="00563F69" w:rsidRPr="00D27C57" w:rsidRDefault="00563F69" w:rsidP="005D1921">
            <w:r w:rsidRPr="00D27C57">
              <w:t>£</w:t>
            </w:r>
            <w:r>
              <w:t>0</w:t>
            </w:r>
          </w:p>
        </w:tc>
        <w:tc>
          <w:tcPr>
            <w:tcW w:w="1701" w:type="dxa"/>
          </w:tcPr>
          <w:p w:rsidR="00563F69" w:rsidRPr="00D27C57" w:rsidRDefault="00563F69" w:rsidP="00D27C57">
            <w:r w:rsidRPr="00D27C57">
              <w:t>Per pupil</w:t>
            </w:r>
          </w:p>
          <w:p w:rsidR="00563F69" w:rsidRPr="00D27C57" w:rsidRDefault="00563F69" w:rsidP="00D27C57">
            <w:r w:rsidRPr="00D27C57">
              <w:t>Primary £</w:t>
            </w:r>
            <w:r w:rsidR="003B6ABF">
              <w:t>37.</w:t>
            </w:r>
            <w:r w:rsidR="00F01E41">
              <w:t>1</w:t>
            </w:r>
            <w:r w:rsidR="003B6ABF">
              <w:t>8</w:t>
            </w:r>
          </w:p>
          <w:p w:rsidR="00563F69" w:rsidRPr="00D27C57" w:rsidRDefault="00563F69" w:rsidP="00D27C57"/>
        </w:tc>
        <w:tc>
          <w:tcPr>
            <w:tcW w:w="2126" w:type="dxa"/>
          </w:tcPr>
          <w:p w:rsidR="00563F69" w:rsidRPr="00D27C57" w:rsidRDefault="00F01E41" w:rsidP="00F01E41">
            <w:r>
              <w:t>D</w:t>
            </w:r>
            <w:r w:rsidR="00563F69" w:rsidRPr="00D27C57">
              <w:t>e-delegation</w:t>
            </w:r>
            <w:r>
              <w:t xml:space="preserve"> to</w:t>
            </w:r>
            <w:r w:rsidR="00563F69" w:rsidRPr="00D27C57">
              <w:t xml:space="preserve"> allocate resources to area panels. </w:t>
            </w:r>
            <w:r w:rsidR="00563F69" w:rsidRPr="00D27C57">
              <w:lastRenderedPageBreak/>
              <w:t>Academies would need to be invoiced by panels for participation</w:t>
            </w:r>
          </w:p>
        </w:tc>
      </w:tr>
      <w:tr w:rsidR="00563F69" w:rsidRPr="00D27C57" w:rsidTr="00292F50">
        <w:tc>
          <w:tcPr>
            <w:tcW w:w="1418" w:type="dxa"/>
          </w:tcPr>
          <w:p w:rsidR="00563F69" w:rsidRPr="00D27C57" w:rsidRDefault="00563F69" w:rsidP="00D27C57">
            <w:r w:rsidRPr="00D27C57">
              <w:lastRenderedPageBreak/>
              <w:t>Broadband charges</w:t>
            </w:r>
          </w:p>
        </w:tc>
        <w:tc>
          <w:tcPr>
            <w:tcW w:w="1701" w:type="dxa"/>
          </w:tcPr>
          <w:p w:rsidR="00563F69" w:rsidRPr="00D27C57" w:rsidRDefault="00563F69" w:rsidP="00D27C57">
            <w:r w:rsidRPr="00D27C57">
              <w:t>Costs of broadband circuits to schools</w:t>
            </w:r>
          </w:p>
        </w:tc>
        <w:tc>
          <w:tcPr>
            <w:tcW w:w="1276" w:type="dxa"/>
          </w:tcPr>
          <w:p w:rsidR="00563F69" w:rsidRPr="00D27C57" w:rsidRDefault="00563F69" w:rsidP="00F01E41">
            <w:r w:rsidRPr="00D27C57">
              <w:t>£</w:t>
            </w:r>
            <w:r w:rsidR="00F01E41">
              <w:t>264,848</w:t>
            </w:r>
          </w:p>
        </w:tc>
        <w:tc>
          <w:tcPr>
            <w:tcW w:w="1418" w:type="dxa"/>
          </w:tcPr>
          <w:p w:rsidR="00563F69" w:rsidRPr="00D27C57" w:rsidRDefault="00563F69" w:rsidP="00F01E41">
            <w:r w:rsidRPr="00D27C57">
              <w:t>£</w:t>
            </w:r>
            <w:r w:rsidR="00F01E41">
              <w:t>20,868</w:t>
            </w:r>
          </w:p>
        </w:tc>
        <w:tc>
          <w:tcPr>
            <w:tcW w:w="1701" w:type="dxa"/>
          </w:tcPr>
          <w:p w:rsidR="00563F69" w:rsidRPr="00D27C57" w:rsidRDefault="00563F69" w:rsidP="00D27C57">
            <w:r w:rsidRPr="00D27C57">
              <w:t>Lump sum £3,6</w:t>
            </w:r>
            <w:r w:rsidR="00F01E41">
              <w:t>59</w:t>
            </w:r>
          </w:p>
          <w:p w:rsidR="00563F69" w:rsidRPr="00D27C57" w:rsidRDefault="00563F69" w:rsidP="00D27C57">
            <w:r w:rsidRPr="00D27C57">
              <w:t>Per pupil Primary £</w:t>
            </w:r>
            <w:r w:rsidR="00F01E41">
              <w:t>4.62</w:t>
            </w:r>
          </w:p>
          <w:p w:rsidR="00563F69" w:rsidRPr="00D27C57" w:rsidRDefault="00563F69" w:rsidP="00F01E41">
            <w:r w:rsidRPr="00D27C57">
              <w:t>Secondary £</w:t>
            </w:r>
            <w:r w:rsidR="00F01E41">
              <w:t>5.07</w:t>
            </w:r>
          </w:p>
        </w:tc>
        <w:tc>
          <w:tcPr>
            <w:tcW w:w="2126" w:type="dxa"/>
          </w:tcPr>
          <w:p w:rsidR="00563F69" w:rsidRPr="00D27C57" w:rsidRDefault="00F01E41" w:rsidP="00D27C57">
            <w:r>
              <w:t xml:space="preserve">The </w:t>
            </w:r>
            <w:r w:rsidR="00563F69" w:rsidRPr="00D27C57">
              <w:t>de-delegation of this resource occurs to allow the continuation of the pooled arrangement that currently exists</w:t>
            </w:r>
          </w:p>
        </w:tc>
      </w:tr>
      <w:tr w:rsidR="00563F69" w:rsidRPr="00D27C57" w:rsidTr="00292F50">
        <w:tc>
          <w:tcPr>
            <w:tcW w:w="1418" w:type="dxa"/>
          </w:tcPr>
          <w:p w:rsidR="00563F69" w:rsidRPr="00D27C57" w:rsidRDefault="00563F69" w:rsidP="00D27C57">
            <w:r w:rsidRPr="00D27C57">
              <w:t>Support for ethnic minority groups</w:t>
            </w:r>
          </w:p>
        </w:tc>
        <w:tc>
          <w:tcPr>
            <w:tcW w:w="1701" w:type="dxa"/>
          </w:tcPr>
          <w:p w:rsidR="00563F69" w:rsidRPr="00D27C57" w:rsidRDefault="00563F69" w:rsidP="00D27C57">
            <w:r w:rsidRPr="00D27C57">
              <w:t>Resources used to purchase support from EMAS service</w:t>
            </w:r>
          </w:p>
        </w:tc>
        <w:tc>
          <w:tcPr>
            <w:tcW w:w="1276" w:type="dxa"/>
          </w:tcPr>
          <w:p w:rsidR="00563F69" w:rsidRPr="00D27C57" w:rsidRDefault="00563F69" w:rsidP="00251843">
            <w:r w:rsidRPr="00D27C57">
              <w:t>£90,</w:t>
            </w:r>
            <w:r w:rsidR="00251843">
              <w:t>558</w:t>
            </w:r>
          </w:p>
        </w:tc>
        <w:tc>
          <w:tcPr>
            <w:tcW w:w="1418" w:type="dxa"/>
          </w:tcPr>
          <w:p w:rsidR="00563F69" w:rsidRPr="00D27C57" w:rsidRDefault="00563F69" w:rsidP="00251843">
            <w:r w:rsidRPr="00D27C57">
              <w:t>£</w:t>
            </w:r>
            <w:r w:rsidR="003B6ABF">
              <w:t>3,7</w:t>
            </w:r>
            <w:r w:rsidR="00251843">
              <w:t>65</w:t>
            </w:r>
          </w:p>
        </w:tc>
        <w:tc>
          <w:tcPr>
            <w:tcW w:w="1701" w:type="dxa"/>
          </w:tcPr>
          <w:p w:rsidR="00563F69" w:rsidRPr="00D27C57" w:rsidRDefault="00563F69" w:rsidP="00D27C57">
            <w:r w:rsidRPr="00D27C57">
              <w:t>Per pupil</w:t>
            </w:r>
          </w:p>
          <w:p w:rsidR="00563F69" w:rsidRPr="00D27C57" w:rsidRDefault="00563F69" w:rsidP="00D27C57">
            <w:r w:rsidRPr="00D27C57">
              <w:t>Primary £</w:t>
            </w:r>
            <w:r w:rsidR="00251843">
              <w:t>7.95</w:t>
            </w:r>
          </w:p>
          <w:p w:rsidR="00563F69" w:rsidRPr="00D27C57" w:rsidRDefault="00563F69" w:rsidP="003B6ABF">
            <w:r w:rsidRPr="00D27C57">
              <w:t>Secondary £</w:t>
            </w:r>
            <w:r w:rsidR="003B6ABF">
              <w:t>1.9</w:t>
            </w:r>
            <w:r w:rsidR="00251843">
              <w:t>3</w:t>
            </w:r>
          </w:p>
        </w:tc>
        <w:tc>
          <w:tcPr>
            <w:tcW w:w="2126" w:type="dxa"/>
          </w:tcPr>
          <w:p w:rsidR="00563F69" w:rsidRPr="00D27C57" w:rsidRDefault="00F01E41" w:rsidP="00F01E41">
            <w:r>
              <w:t>D</w:t>
            </w:r>
            <w:r w:rsidR="00563F69" w:rsidRPr="00D27C57">
              <w:t>e- delegation to continue programme of support from EMAS service</w:t>
            </w:r>
          </w:p>
        </w:tc>
      </w:tr>
      <w:tr w:rsidR="00563F69" w:rsidRPr="00D27C57" w:rsidTr="00292F50">
        <w:tc>
          <w:tcPr>
            <w:tcW w:w="1418" w:type="dxa"/>
          </w:tcPr>
          <w:p w:rsidR="00563F69" w:rsidRPr="00D27C57" w:rsidRDefault="00563F69" w:rsidP="00D27C57">
            <w:r w:rsidRPr="00D27C57">
              <w:t>FSM checking Service</w:t>
            </w:r>
          </w:p>
        </w:tc>
        <w:tc>
          <w:tcPr>
            <w:tcW w:w="1701" w:type="dxa"/>
          </w:tcPr>
          <w:p w:rsidR="00563F69" w:rsidRPr="00D27C57" w:rsidRDefault="00563F69" w:rsidP="00D27C57">
            <w:r w:rsidRPr="00D27C57">
              <w:t>Resources to check eligibility of pupils to FSM</w:t>
            </w:r>
          </w:p>
        </w:tc>
        <w:tc>
          <w:tcPr>
            <w:tcW w:w="1276" w:type="dxa"/>
          </w:tcPr>
          <w:p w:rsidR="00563F69" w:rsidRPr="00D27C57" w:rsidRDefault="00563F69" w:rsidP="00251843">
            <w:r w:rsidRPr="00D27C57">
              <w:t>£</w:t>
            </w:r>
            <w:r w:rsidR="003B6ABF">
              <w:t>15,</w:t>
            </w:r>
            <w:r w:rsidR="00251843">
              <w:t>378</w:t>
            </w:r>
          </w:p>
        </w:tc>
        <w:tc>
          <w:tcPr>
            <w:tcW w:w="1418" w:type="dxa"/>
          </w:tcPr>
          <w:p w:rsidR="00563F69" w:rsidRPr="00D27C57" w:rsidRDefault="00563F69" w:rsidP="00251843">
            <w:r w:rsidRPr="00D27C57">
              <w:t>£</w:t>
            </w:r>
            <w:r w:rsidR="003B6ABF">
              <w:t>2,7</w:t>
            </w:r>
            <w:r w:rsidR="00251843">
              <w:t>31</w:t>
            </w:r>
          </w:p>
        </w:tc>
        <w:tc>
          <w:tcPr>
            <w:tcW w:w="1701" w:type="dxa"/>
          </w:tcPr>
          <w:p w:rsidR="00563F69" w:rsidRPr="00D27C57" w:rsidRDefault="00563F69" w:rsidP="00D27C57">
            <w:r w:rsidRPr="00D27C57">
              <w:t>Per pupil</w:t>
            </w:r>
          </w:p>
          <w:p w:rsidR="00563F69" w:rsidRPr="00D27C57" w:rsidRDefault="00563F69" w:rsidP="00D27C57">
            <w:r w:rsidRPr="00D27C57">
              <w:t>Primary £1.3</w:t>
            </w:r>
            <w:r w:rsidR="00251843">
              <w:t>5</w:t>
            </w:r>
          </w:p>
          <w:p w:rsidR="00563F69" w:rsidRPr="00D27C57" w:rsidRDefault="00563F69" w:rsidP="003B6ABF">
            <w:r w:rsidRPr="00D27C57">
              <w:t>Secondary £1.</w:t>
            </w:r>
            <w:r w:rsidR="00251843">
              <w:t>40</w:t>
            </w:r>
          </w:p>
        </w:tc>
        <w:tc>
          <w:tcPr>
            <w:tcW w:w="2126" w:type="dxa"/>
          </w:tcPr>
          <w:p w:rsidR="00563F69" w:rsidRPr="00D27C57" w:rsidRDefault="00F01E41" w:rsidP="00F01E41">
            <w:r>
              <w:t>De</w:t>
            </w:r>
            <w:r w:rsidR="00563F69" w:rsidRPr="00D27C57">
              <w:t>- delegation to continue service availability</w:t>
            </w:r>
          </w:p>
        </w:tc>
      </w:tr>
      <w:tr w:rsidR="00563F69" w:rsidRPr="00D27C57" w:rsidTr="00292F50">
        <w:tc>
          <w:tcPr>
            <w:tcW w:w="1418" w:type="dxa"/>
          </w:tcPr>
          <w:p w:rsidR="00563F69" w:rsidRPr="00D27C57" w:rsidRDefault="00563F69" w:rsidP="00D27C57">
            <w:r w:rsidRPr="00D27C57">
              <w:t>Maternity cover</w:t>
            </w:r>
          </w:p>
        </w:tc>
        <w:tc>
          <w:tcPr>
            <w:tcW w:w="1701" w:type="dxa"/>
          </w:tcPr>
          <w:p w:rsidR="00563F69" w:rsidRPr="00D27C57" w:rsidRDefault="00563F69" w:rsidP="00D27C57">
            <w:r w:rsidRPr="00D27C57">
              <w:t>Cost of cover maternity and paternity</w:t>
            </w:r>
          </w:p>
        </w:tc>
        <w:tc>
          <w:tcPr>
            <w:tcW w:w="1276" w:type="dxa"/>
          </w:tcPr>
          <w:p w:rsidR="00563F69" w:rsidRPr="00D27C57" w:rsidRDefault="00563F69" w:rsidP="00251843">
            <w:r w:rsidRPr="00D27C57">
              <w:t>£</w:t>
            </w:r>
            <w:r w:rsidR="00251843">
              <w:t>345,375</w:t>
            </w:r>
          </w:p>
        </w:tc>
        <w:tc>
          <w:tcPr>
            <w:tcW w:w="1418" w:type="dxa"/>
          </w:tcPr>
          <w:p w:rsidR="00563F69" w:rsidRPr="00D27C57" w:rsidRDefault="00563F69" w:rsidP="00251843">
            <w:r w:rsidRPr="00D27C57">
              <w:t>£</w:t>
            </w:r>
            <w:r w:rsidR="003B6ABF">
              <w:t>32,</w:t>
            </w:r>
            <w:r w:rsidR="00251843">
              <w:t>854</w:t>
            </w:r>
          </w:p>
        </w:tc>
        <w:tc>
          <w:tcPr>
            <w:tcW w:w="1701" w:type="dxa"/>
          </w:tcPr>
          <w:p w:rsidR="00563F69" w:rsidRPr="00D27C57" w:rsidRDefault="00563F69" w:rsidP="00D27C57">
            <w:r w:rsidRPr="00D27C57">
              <w:t>Per pupil</w:t>
            </w:r>
          </w:p>
          <w:p w:rsidR="00563F69" w:rsidRPr="00D27C57" w:rsidRDefault="00563F69" w:rsidP="00D27C57">
            <w:r w:rsidRPr="00D27C57">
              <w:t>Primary £</w:t>
            </w:r>
            <w:r w:rsidR="00251843">
              <w:t>30.32</w:t>
            </w:r>
          </w:p>
          <w:p w:rsidR="00563F69" w:rsidRPr="00D27C57" w:rsidRDefault="00563F69" w:rsidP="00251843">
            <w:r w:rsidRPr="00D27C57">
              <w:t>Secondary £</w:t>
            </w:r>
            <w:r w:rsidR="003B6ABF">
              <w:t>16.</w:t>
            </w:r>
            <w:r w:rsidR="00251843">
              <w:t>84</w:t>
            </w:r>
          </w:p>
        </w:tc>
        <w:tc>
          <w:tcPr>
            <w:tcW w:w="2126" w:type="dxa"/>
          </w:tcPr>
          <w:p w:rsidR="00563F69" w:rsidRPr="00D27C57" w:rsidRDefault="00F01E41" w:rsidP="00F01E41">
            <w:r>
              <w:t>D</w:t>
            </w:r>
            <w:r w:rsidR="00563F69" w:rsidRPr="00D27C57">
              <w:t>e- delegation as pooled arrangement</w:t>
            </w:r>
          </w:p>
        </w:tc>
      </w:tr>
      <w:tr w:rsidR="00563F69" w:rsidRPr="00D27C57" w:rsidTr="00292F50">
        <w:tc>
          <w:tcPr>
            <w:tcW w:w="1418" w:type="dxa"/>
          </w:tcPr>
          <w:p w:rsidR="00563F69" w:rsidRPr="00D27C57" w:rsidRDefault="00563F69" w:rsidP="00D27C57">
            <w:r w:rsidRPr="00D27C57">
              <w:t>Jury, magistrates and Councillor</w:t>
            </w:r>
          </w:p>
        </w:tc>
        <w:tc>
          <w:tcPr>
            <w:tcW w:w="1701" w:type="dxa"/>
          </w:tcPr>
          <w:p w:rsidR="00563F69" w:rsidRPr="00D27C57" w:rsidRDefault="00563F69" w:rsidP="00D27C57">
            <w:r w:rsidRPr="00D27C57">
              <w:t>Cost of cover</w:t>
            </w:r>
          </w:p>
        </w:tc>
        <w:tc>
          <w:tcPr>
            <w:tcW w:w="1276" w:type="dxa"/>
          </w:tcPr>
          <w:p w:rsidR="00563F69" w:rsidRPr="00D27C57" w:rsidRDefault="00563F69" w:rsidP="00251843">
            <w:r w:rsidRPr="00D27C57">
              <w:t>£3,</w:t>
            </w:r>
            <w:r w:rsidR="003B6ABF">
              <w:t>5</w:t>
            </w:r>
            <w:r w:rsidR="00251843">
              <w:t>31</w:t>
            </w:r>
          </w:p>
        </w:tc>
        <w:tc>
          <w:tcPr>
            <w:tcW w:w="1418" w:type="dxa"/>
          </w:tcPr>
          <w:p w:rsidR="00563F69" w:rsidRPr="00D27C57" w:rsidRDefault="00563F69" w:rsidP="00251843">
            <w:r w:rsidRPr="00D27C57">
              <w:t>£</w:t>
            </w:r>
            <w:r w:rsidR="003B6ABF">
              <w:t>7</w:t>
            </w:r>
            <w:r w:rsidR="00251843">
              <w:t>8</w:t>
            </w:r>
            <w:r w:rsidR="003B6ABF">
              <w:t>0</w:t>
            </w:r>
          </w:p>
        </w:tc>
        <w:tc>
          <w:tcPr>
            <w:tcW w:w="1701" w:type="dxa"/>
          </w:tcPr>
          <w:p w:rsidR="00563F69" w:rsidRPr="00D27C57" w:rsidRDefault="00563F69" w:rsidP="00D27C57">
            <w:r w:rsidRPr="00D27C57">
              <w:t>Per pupil</w:t>
            </w:r>
          </w:p>
          <w:p w:rsidR="00563F69" w:rsidRPr="00D27C57" w:rsidRDefault="00563F69" w:rsidP="00D27C57">
            <w:r w:rsidRPr="00D27C57">
              <w:t>Primary £0.3</w:t>
            </w:r>
            <w:r w:rsidR="003B6ABF">
              <w:t>1</w:t>
            </w:r>
          </w:p>
          <w:p w:rsidR="00563F69" w:rsidRPr="00D27C57" w:rsidRDefault="00563F69" w:rsidP="003B6ABF">
            <w:r w:rsidRPr="00D27C57">
              <w:t>Secondary £0.</w:t>
            </w:r>
            <w:r w:rsidR="003B6ABF">
              <w:t>40</w:t>
            </w:r>
          </w:p>
        </w:tc>
        <w:tc>
          <w:tcPr>
            <w:tcW w:w="2126" w:type="dxa"/>
          </w:tcPr>
          <w:p w:rsidR="00563F69" w:rsidRPr="00D27C57" w:rsidRDefault="00F01E41" w:rsidP="00F01E41">
            <w:r>
              <w:t>De-</w:t>
            </w:r>
            <w:r w:rsidR="00563F69" w:rsidRPr="00D27C57">
              <w:t xml:space="preserve"> delegation as pooled arrangement</w:t>
            </w:r>
          </w:p>
        </w:tc>
      </w:tr>
      <w:tr w:rsidR="00563F69" w:rsidRPr="00D27C57" w:rsidTr="00292F50">
        <w:tc>
          <w:tcPr>
            <w:tcW w:w="1418" w:type="dxa"/>
          </w:tcPr>
          <w:p w:rsidR="00563F69" w:rsidRPr="00D27C57" w:rsidRDefault="00563F69" w:rsidP="00D27C57">
            <w:r w:rsidRPr="00D27C57">
              <w:t>Union duties</w:t>
            </w:r>
          </w:p>
        </w:tc>
        <w:tc>
          <w:tcPr>
            <w:tcW w:w="1701" w:type="dxa"/>
          </w:tcPr>
          <w:p w:rsidR="00563F69" w:rsidRPr="00D27C57" w:rsidRDefault="00563F69" w:rsidP="00D27C57">
            <w:r w:rsidRPr="00D27C57">
              <w:t>Cost of facility time for union representatives</w:t>
            </w:r>
          </w:p>
        </w:tc>
        <w:tc>
          <w:tcPr>
            <w:tcW w:w="1276" w:type="dxa"/>
          </w:tcPr>
          <w:p w:rsidR="00563F69" w:rsidRPr="00D27C57" w:rsidRDefault="00563F69" w:rsidP="00251843">
            <w:r w:rsidRPr="00D27C57">
              <w:t>£</w:t>
            </w:r>
            <w:r w:rsidR="00251843">
              <w:t>43,790</w:t>
            </w:r>
          </w:p>
        </w:tc>
        <w:tc>
          <w:tcPr>
            <w:tcW w:w="1418" w:type="dxa"/>
          </w:tcPr>
          <w:p w:rsidR="00563F69" w:rsidRPr="00D27C57" w:rsidRDefault="00563F69" w:rsidP="00251843">
            <w:r w:rsidRPr="00D27C57">
              <w:t>£</w:t>
            </w:r>
            <w:r w:rsidR="00251843">
              <w:t>2,265</w:t>
            </w:r>
          </w:p>
        </w:tc>
        <w:tc>
          <w:tcPr>
            <w:tcW w:w="1701" w:type="dxa"/>
          </w:tcPr>
          <w:p w:rsidR="00563F69" w:rsidRPr="00D27C57" w:rsidRDefault="00563F69" w:rsidP="00D27C57">
            <w:r w:rsidRPr="00D27C57">
              <w:t>Per school</w:t>
            </w:r>
          </w:p>
          <w:p w:rsidR="00563F69" w:rsidRPr="00D27C57" w:rsidRDefault="00563F69" w:rsidP="00D27C57">
            <w:r w:rsidRPr="00D27C57">
              <w:t>Primary £</w:t>
            </w:r>
            <w:r w:rsidR="00251843">
              <w:t>755</w:t>
            </w:r>
          </w:p>
          <w:p w:rsidR="00563F69" w:rsidRPr="00D27C57" w:rsidRDefault="00563F69" w:rsidP="00251843">
            <w:r w:rsidRPr="00D27C57">
              <w:t>Secondary £</w:t>
            </w:r>
            <w:r w:rsidR="00251843">
              <w:t>755</w:t>
            </w:r>
          </w:p>
        </w:tc>
        <w:tc>
          <w:tcPr>
            <w:tcW w:w="2126" w:type="dxa"/>
          </w:tcPr>
          <w:p w:rsidR="00563F69" w:rsidRPr="00D27C57" w:rsidRDefault="00F01E41" w:rsidP="00F01E41">
            <w:r>
              <w:t>D</w:t>
            </w:r>
            <w:r w:rsidR="00563F69" w:rsidRPr="00D27C57">
              <w:t>e- delegation as pooled arrangement</w:t>
            </w:r>
          </w:p>
        </w:tc>
      </w:tr>
      <w:tr w:rsidR="00563F69" w:rsidRPr="00D27C57" w:rsidTr="00292F50">
        <w:tc>
          <w:tcPr>
            <w:tcW w:w="1418" w:type="dxa"/>
          </w:tcPr>
          <w:p w:rsidR="00563F69" w:rsidRPr="00D27C57" w:rsidRDefault="00563F69" w:rsidP="00D27C57">
            <w:r w:rsidRPr="00D27C57">
              <w:t>Termination of employment costs</w:t>
            </w:r>
          </w:p>
        </w:tc>
        <w:tc>
          <w:tcPr>
            <w:tcW w:w="1701" w:type="dxa"/>
          </w:tcPr>
          <w:p w:rsidR="00563F69" w:rsidRPr="00D27C57" w:rsidRDefault="00563F69" w:rsidP="00D27C57">
            <w:r w:rsidRPr="00D27C57">
              <w:t xml:space="preserve">Cost of individual cases </w:t>
            </w:r>
          </w:p>
        </w:tc>
        <w:tc>
          <w:tcPr>
            <w:tcW w:w="1276" w:type="dxa"/>
          </w:tcPr>
          <w:p w:rsidR="00563F69" w:rsidRPr="00D27C57" w:rsidRDefault="00563F69" w:rsidP="00251843">
            <w:r w:rsidRPr="00D27C57">
              <w:t>£</w:t>
            </w:r>
            <w:r w:rsidR="003B6ABF">
              <w:t>11,</w:t>
            </w:r>
            <w:r w:rsidR="00251843">
              <w:t>391</w:t>
            </w:r>
          </w:p>
        </w:tc>
        <w:tc>
          <w:tcPr>
            <w:tcW w:w="1418" w:type="dxa"/>
          </w:tcPr>
          <w:p w:rsidR="00563F69" w:rsidRPr="00D27C57" w:rsidRDefault="00563F69" w:rsidP="00251843">
            <w:r w:rsidRPr="00D27C57">
              <w:t>£</w:t>
            </w:r>
            <w:r w:rsidR="003B6ABF">
              <w:t>1,1</w:t>
            </w:r>
            <w:r w:rsidR="00251843">
              <w:t>70</w:t>
            </w:r>
          </w:p>
        </w:tc>
        <w:tc>
          <w:tcPr>
            <w:tcW w:w="1701" w:type="dxa"/>
          </w:tcPr>
          <w:p w:rsidR="00563F69" w:rsidRPr="00D27C57" w:rsidRDefault="00563F69" w:rsidP="00D27C57">
            <w:r w:rsidRPr="00D27C57">
              <w:t>Per pupil</w:t>
            </w:r>
          </w:p>
          <w:p w:rsidR="00563F69" w:rsidRPr="00D27C57" w:rsidRDefault="00563F69" w:rsidP="00D27C57">
            <w:r w:rsidRPr="00D27C57">
              <w:t>Primary £1.</w:t>
            </w:r>
            <w:r w:rsidR="00251843">
              <w:t>00</w:t>
            </w:r>
          </w:p>
          <w:p w:rsidR="00563F69" w:rsidRPr="00D27C57" w:rsidRDefault="00563F69" w:rsidP="003B6ABF">
            <w:r w:rsidRPr="00D27C57">
              <w:t>Secondary £0.</w:t>
            </w:r>
            <w:r w:rsidR="00251843">
              <w:t>60</w:t>
            </w:r>
          </w:p>
        </w:tc>
        <w:tc>
          <w:tcPr>
            <w:tcW w:w="2126" w:type="dxa"/>
          </w:tcPr>
          <w:p w:rsidR="00563F69" w:rsidRPr="00D27C57" w:rsidRDefault="00F01E41" w:rsidP="00F01E41">
            <w:r>
              <w:t>D</w:t>
            </w:r>
            <w:r w:rsidR="00563F69" w:rsidRPr="00D27C57">
              <w:t>e- delegation as pooled arrangement</w:t>
            </w:r>
          </w:p>
        </w:tc>
      </w:tr>
    </w:tbl>
    <w:p w:rsidR="00964E72" w:rsidRDefault="00964E72" w:rsidP="00D27C57"/>
    <w:p w:rsidR="001D093B" w:rsidRDefault="004807D9" w:rsidP="00D27C57">
      <w:r>
        <w:t>The decision made by forum will affect all schools in the sector. If forum were to decide that maternity budget should be de delegated for primary schools then all maintained primary schools would have the £</w:t>
      </w:r>
      <w:r w:rsidR="009629DD">
        <w:t>30.32</w:t>
      </w:r>
      <w:r>
        <w:t xml:space="preserve"> (estimated) deducted from their budget and used to support maternity across all primary schools, effectively creating a pool of resources.</w:t>
      </w:r>
    </w:p>
    <w:p w:rsidR="001D093B" w:rsidRDefault="001D093B" w:rsidP="00D27C57"/>
    <w:p w:rsidR="004807D9" w:rsidRDefault="004807D9" w:rsidP="00D27C57">
      <w:r>
        <w:lastRenderedPageBreak/>
        <w:t>The regulations do not allow an academy to de delegate resources in the same way as maintained schools can. If an academy is interested in purchasing the service then a decision on a school by school basis can be made by each academy, if a service is available.</w:t>
      </w:r>
    </w:p>
    <w:p w:rsidR="00780050" w:rsidRDefault="00780050" w:rsidP="00D27C57"/>
    <w:p w:rsidR="00780050" w:rsidRDefault="00780050" w:rsidP="00D27C57">
      <w:r>
        <w:t xml:space="preserve">The Same principle applies to Special Schools as their funding will be incorporated into the top up funding methodology that supports high needs pupils. Therefore Special schools will be invited to purchase </w:t>
      </w:r>
      <w:r w:rsidR="009629DD">
        <w:t xml:space="preserve">an </w:t>
      </w:r>
      <w:r>
        <w:t>SLA where a service is required.</w:t>
      </w:r>
    </w:p>
    <w:p w:rsidR="00CE1096" w:rsidRDefault="00CE1096" w:rsidP="00D27C57"/>
    <w:p w:rsidR="00CE1096" w:rsidRDefault="00CE1096" w:rsidP="00D27C57">
      <w:r>
        <w:t xml:space="preserve">The behaviour support service items are intended to support </w:t>
      </w:r>
      <w:r w:rsidR="00780050">
        <w:t>t</w:t>
      </w:r>
      <w:r>
        <w:t>he behaviour and attendance panels. If maintained schools decide to de delegate these items the resource will be passed to the panels for use across all schools. For Academies each school will be invoiced for the equivalent resource that de delegation would produce with the resource also being passed to the panels to utilise.</w:t>
      </w:r>
    </w:p>
    <w:p w:rsidR="00964E72" w:rsidRDefault="00964E72" w:rsidP="00D27C57"/>
    <w:p w:rsidR="00964E72" w:rsidRDefault="00964E72" w:rsidP="00D27C57">
      <w:r>
        <w:t xml:space="preserve">In order to satisfy the DFE requirements of the funding reform the LA will need to inform the DFE of the delegation responses in </w:t>
      </w:r>
      <w:r w:rsidR="00EB5235">
        <w:t xml:space="preserve">January, and as </w:t>
      </w:r>
      <w:r w:rsidR="00251843">
        <w:t>we have</w:t>
      </w:r>
      <w:r>
        <w:t xml:space="preserve"> a forum prior to that date a decision is </w:t>
      </w:r>
      <w:r w:rsidR="00EB5235">
        <w:t xml:space="preserve">not necessarily </w:t>
      </w:r>
      <w:r>
        <w:t>required at this meeting.</w:t>
      </w:r>
    </w:p>
    <w:p w:rsidR="00964E72" w:rsidRDefault="00964E72" w:rsidP="00D27C57"/>
    <w:p w:rsidR="00964E72" w:rsidRDefault="00964E72" w:rsidP="00D27C57"/>
    <w:p w:rsidR="00D27C57" w:rsidRDefault="00D27C57" w:rsidP="00D27C57"/>
    <w:p w:rsidR="00D27C57" w:rsidRDefault="00D27C57" w:rsidP="00D27C57"/>
    <w:p w:rsidR="00D27C57" w:rsidRDefault="00D27C57" w:rsidP="00D27C57"/>
    <w:p w:rsidR="00D27C57" w:rsidRDefault="00D27C57" w:rsidP="00D27C57"/>
    <w:p w:rsidR="0022781D" w:rsidRDefault="0022781D" w:rsidP="00D27C57"/>
    <w:p w:rsidR="0022781D" w:rsidRDefault="0022781D" w:rsidP="00D27C57"/>
    <w:p w:rsidR="0022781D" w:rsidRDefault="0022781D" w:rsidP="00D27C57"/>
    <w:p w:rsidR="0022781D" w:rsidRDefault="0022781D" w:rsidP="00D27C57"/>
    <w:p w:rsidR="0022781D" w:rsidRDefault="0022781D" w:rsidP="00D27C57"/>
    <w:p w:rsidR="0022781D" w:rsidRDefault="0022781D" w:rsidP="00D27C57"/>
    <w:p w:rsidR="0022781D" w:rsidRDefault="0022781D" w:rsidP="00D27C57"/>
    <w:p w:rsidR="0022781D" w:rsidRDefault="0022781D" w:rsidP="00D27C57"/>
    <w:p w:rsidR="0022781D" w:rsidRDefault="0022781D" w:rsidP="00D27C57"/>
    <w:p w:rsidR="00D27C57" w:rsidRDefault="00D27C57" w:rsidP="00D27C57"/>
    <w:p w:rsidR="00D27C57" w:rsidRDefault="00D27C57" w:rsidP="00D27C57"/>
    <w:p w:rsidR="00D27C57" w:rsidRDefault="00D27C57" w:rsidP="00D27C57"/>
    <w:p w:rsidR="00D27C57" w:rsidRDefault="00D27C57" w:rsidP="00D27C57"/>
    <w:p w:rsidR="00D27C57" w:rsidRDefault="00D27C57" w:rsidP="00D27C57"/>
    <w:p w:rsidR="00780050" w:rsidRDefault="00780050" w:rsidP="00D27C57"/>
    <w:p w:rsidR="00D27C57" w:rsidRDefault="00D27C57" w:rsidP="00D27C57"/>
    <w:p w:rsidR="00D27C57" w:rsidRDefault="00D27C57" w:rsidP="00D27C57"/>
    <w:sectPr w:rsidR="00D27C57" w:rsidSect="00BE161C">
      <w:headerReference w:type="default" r:id="rId10"/>
      <w:headerReference w:type="first" r:id="rId11"/>
      <w:pgSz w:w="11906" w:h="16838"/>
      <w:pgMar w:top="1440" w:right="179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1C" w:rsidRDefault="00BE161C" w:rsidP="00BE161C">
      <w:r>
        <w:separator/>
      </w:r>
    </w:p>
  </w:endnote>
  <w:endnote w:type="continuationSeparator" w:id="0">
    <w:p w:rsidR="00BE161C" w:rsidRDefault="00BE161C" w:rsidP="00BE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1C" w:rsidRDefault="00BE161C" w:rsidP="00BE161C">
      <w:r>
        <w:separator/>
      </w:r>
    </w:p>
  </w:footnote>
  <w:footnote w:type="continuationSeparator" w:id="0">
    <w:p w:rsidR="00BE161C" w:rsidRDefault="00BE161C" w:rsidP="00BE1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E9D4923FB23343D2A39AB5936D57DECE"/>
      </w:placeholder>
      <w:temporary/>
      <w:showingPlcHdr/>
    </w:sdtPr>
    <w:sdtContent>
      <w:p w:rsidR="00BE161C" w:rsidRDefault="00BE161C">
        <w:pPr>
          <w:pStyle w:val="Header"/>
        </w:pPr>
        <w:r>
          <w:t>[Type text]</w:t>
        </w:r>
      </w:p>
    </w:sdtContent>
  </w:sdt>
  <w:p w:rsidR="00BE161C" w:rsidRDefault="00BE1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88"/>
      <w:tblW w:w="9690" w:type="dxa"/>
      <w:tblLayout w:type="fixed"/>
      <w:tblLook w:val="04A0" w:firstRow="1" w:lastRow="0" w:firstColumn="1" w:lastColumn="0" w:noHBand="0" w:noVBand="1"/>
    </w:tblPr>
    <w:tblGrid>
      <w:gridCol w:w="5160"/>
      <w:gridCol w:w="4530"/>
    </w:tblGrid>
    <w:tr w:rsidR="00BE161C" w:rsidTr="00BE161C">
      <w:trPr>
        <w:trHeight w:val="806"/>
      </w:trPr>
      <w:tc>
        <w:tcPr>
          <w:tcW w:w="5160" w:type="dxa"/>
        </w:tcPr>
        <w:p w:rsidR="00BE161C" w:rsidRDefault="00BE161C" w:rsidP="007619C8">
          <w:pPr>
            <w:keepNext/>
            <w:tabs>
              <w:tab w:val="left" w:pos="720"/>
              <w:tab w:val="left" w:pos="1440"/>
              <w:tab w:val="left" w:pos="2160"/>
              <w:tab w:val="left" w:pos="2880"/>
              <w:tab w:val="left" w:pos="3600"/>
              <w:tab w:val="left" w:pos="4320"/>
              <w:tab w:val="left" w:pos="5040"/>
              <w:tab w:val="left" w:pos="5760"/>
              <w:tab w:val="left" w:pos="6480"/>
              <w:tab w:val="left" w:pos="7200"/>
            </w:tabs>
            <w:outlineLvl w:val="3"/>
            <w:rPr>
              <w:sz w:val="18"/>
              <w:lang w:eastAsia="en-US"/>
            </w:rPr>
          </w:pPr>
          <w:r>
            <w:rPr>
              <w:noProof/>
              <w:sz w:val="2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172720</wp:posOffset>
                </wp:positionV>
                <wp:extent cx="1974215" cy="728980"/>
                <wp:effectExtent l="0" t="0" r="6985" b="0"/>
                <wp:wrapNone/>
                <wp:docPr id="3" name="Picture 3" descr="B&amp;NES-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NES-PC-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728980"/>
                        </a:xfrm>
                        <a:prstGeom prst="rect">
                          <a:avLst/>
                        </a:prstGeom>
                        <a:noFill/>
                      </pic:spPr>
                    </pic:pic>
                  </a:graphicData>
                </a:graphic>
                <wp14:sizeRelH relativeFrom="page">
                  <wp14:pctWidth>0</wp14:pctWidth>
                </wp14:sizeRelH>
                <wp14:sizeRelV relativeFrom="page">
                  <wp14:pctHeight>0</wp14:pctHeight>
                </wp14:sizeRelV>
              </wp:anchor>
            </w:drawing>
          </w:r>
          <w:r>
            <w:rPr>
              <w:b/>
              <w:sz w:val="20"/>
              <w:lang w:eastAsia="en-US"/>
            </w:rPr>
            <w:br w:type="page"/>
          </w:r>
        </w:p>
      </w:tc>
      <w:tc>
        <w:tcPr>
          <w:tcW w:w="4530" w:type="dxa"/>
        </w:tcPr>
        <w:p w:rsidR="00BE161C" w:rsidRDefault="00BE161C" w:rsidP="007619C8">
          <w:pPr>
            <w:rPr>
              <w:rFonts w:cs="Arial"/>
              <w:b/>
              <w:sz w:val="16"/>
            </w:rPr>
          </w:pPr>
        </w:p>
        <w:p w:rsidR="00BE161C" w:rsidRDefault="00BE161C" w:rsidP="007619C8">
          <w:pPr>
            <w:jc w:val="right"/>
            <w:rPr>
              <w:rFonts w:cs="Arial"/>
              <w:sz w:val="20"/>
            </w:rPr>
          </w:pPr>
          <w:r>
            <w:rPr>
              <w:rFonts w:cs="Arial"/>
              <w:noProof/>
            </w:rPr>
            <w:drawing>
              <wp:inline distT="0" distB="0" distL="0" distR="0">
                <wp:extent cx="2149475" cy="949960"/>
                <wp:effectExtent l="0" t="0" r="3175" b="2540"/>
                <wp:docPr id="2" name="Picture 2" descr="Description: Bath and North East Somerset Clinical Commissioning Group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th and North East Somerset Clinical Commissioning Group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475" cy="949960"/>
                        </a:xfrm>
                        <a:prstGeom prst="rect">
                          <a:avLst/>
                        </a:prstGeom>
                        <a:noFill/>
                        <a:ln>
                          <a:noFill/>
                        </a:ln>
                      </pic:spPr>
                    </pic:pic>
                  </a:graphicData>
                </a:graphic>
              </wp:inline>
            </w:drawing>
          </w:r>
        </w:p>
      </w:tc>
    </w:tr>
  </w:tbl>
  <w:p w:rsidR="00BE161C" w:rsidRDefault="00BE1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B44"/>
    <w:multiLevelType w:val="hybridMultilevel"/>
    <w:tmpl w:val="566A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06CB9"/>
    <w:multiLevelType w:val="hybridMultilevel"/>
    <w:tmpl w:val="9BA0AE9E"/>
    <w:lvl w:ilvl="0" w:tplc="AD88EC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E17004B"/>
    <w:multiLevelType w:val="hybridMultilevel"/>
    <w:tmpl w:val="10DE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019DB"/>
    <w:multiLevelType w:val="hybridMultilevel"/>
    <w:tmpl w:val="6492AD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BC771D3"/>
    <w:multiLevelType w:val="hybridMultilevel"/>
    <w:tmpl w:val="49B079A6"/>
    <w:lvl w:ilvl="0" w:tplc="34BA3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791A3A"/>
    <w:multiLevelType w:val="hybridMultilevel"/>
    <w:tmpl w:val="84BA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DA4B87"/>
    <w:multiLevelType w:val="hybridMultilevel"/>
    <w:tmpl w:val="F13C3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BF5601"/>
    <w:multiLevelType w:val="hybridMultilevel"/>
    <w:tmpl w:val="A098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C76258"/>
    <w:multiLevelType w:val="hybridMultilevel"/>
    <w:tmpl w:val="3D763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83A2929"/>
    <w:multiLevelType w:val="hybridMultilevel"/>
    <w:tmpl w:val="AA72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8A6D3F"/>
    <w:multiLevelType w:val="hybridMultilevel"/>
    <w:tmpl w:val="733EA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5"/>
  </w:num>
  <w:num w:numId="5">
    <w:abstractNumId w:val="2"/>
  </w:num>
  <w:num w:numId="6">
    <w:abstractNumId w:val="7"/>
  </w:num>
  <w:num w:numId="7">
    <w:abstractNumId w:val="10"/>
  </w:num>
  <w:num w:numId="8">
    <w:abstractNumId w:val="8"/>
  </w:num>
  <w:num w:numId="9">
    <w:abstractNumId w:val="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5F"/>
    <w:rsid w:val="000342E9"/>
    <w:rsid w:val="00041EC9"/>
    <w:rsid w:val="0004506E"/>
    <w:rsid w:val="0007022E"/>
    <w:rsid w:val="00096FDA"/>
    <w:rsid w:val="000B5851"/>
    <w:rsid w:val="000D322B"/>
    <w:rsid w:val="0010030F"/>
    <w:rsid w:val="00137A78"/>
    <w:rsid w:val="00142C6C"/>
    <w:rsid w:val="00171A18"/>
    <w:rsid w:val="001B26CF"/>
    <w:rsid w:val="001C0AE3"/>
    <w:rsid w:val="001C2B6D"/>
    <w:rsid w:val="001D093B"/>
    <w:rsid w:val="001D6A42"/>
    <w:rsid w:val="001D6E79"/>
    <w:rsid w:val="001E1B5F"/>
    <w:rsid w:val="001E489B"/>
    <w:rsid w:val="00202EA1"/>
    <w:rsid w:val="00210B32"/>
    <w:rsid w:val="00216102"/>
    <w:rsid w:val="002276FC"/>
    <w:rsid w:val="0022781D"/>
    <w:rsid w:val="0024354F"/>
    <w:rsid w:val="00251843"/>
    <w:rsid w:val="002557DA"/>
    <w:rsid w:val="00275690"/>
    <w:rsid w:val="00282043"/>
    <w:rsid w:val="00292F50"/>
    <w:rsid w:val="00293289"/>
    <w:rsid w:val="002A6068"/>
    <w:rsid w:val="002C476B"/>
    <w:rsid w:val="002D1EEE"/>
    <w:rsid w:val="002F1FDE"/>
    <w:rsid w:val="00327B81"/>
    <w:rsid w:val="003724DA"/>
    <w:rsid w:val="00373DFC"/>
    <w:rsid w:val="00373E56"/>
    <w:rsid w:val="003916D9"/>
    <w:rsid w:val="003B6ABF"/>
    <w:rsid w:val="003D5074"/>
    <w:rsid w:val="0041160B"/>
    <w:rsid w:val="00437E83"/>
    <w:rsid w:val="004807D9"/>
    <w:rsid w:val="00483D3B"/>
    <w:rsid w:val="00494BE9"/>
    <w:rsid w:val="004E7FBD"/>
    <w:rsid w:val="00505EF0"/>
    <w:rsid w:val="0051573E"/>
    <w:rsid w:val="0054203E"/>
    <w:rsid w:val="00563F69"/>
    <w:rsid w:val="0059634C"/>
    <w:rsid w:val="005B2AED"/>
    <w:rsid w:val="005D1921"/>
    <w:rsid w:val="005D2422"/>
    <w:rsid w:val="005E25E3"/>
    <w:rsid w:val="00601139"/>
    <w:rsid w:val="00613761"/>
    <w:rsid w:val="00640C40"/>
    <w:rsid w:val="006B1B71"/>
    <w:rsid w:val="006B58B2"/>
    <w:rsid w:val="006F1417"/>
    <w:rsid w:val="0070780E"/>
    <w:rsid w:val="007244C6"/>
    <w:rsid w:val="00726C98"/>
    <w:rsid w:val="00742582"/>
    <w:rsid w:val="00745BE6"/>
    <w:rsid w:val="00780050"/>
    <w:rsid w:val="007934A1"/>
    <w:rsid w:val="007A278F"/>
    <w:rsid w:val="007A2FAA"/>
    <w:rsid w:val="007B7641"/>
    <w:rsid w:val="007C60C2"/>
    <w:rsid w:val="007D0C1E"/>
    <w:rsid w:val="007D2AB1"/>
    <w:rsid w:val="007D688E"/>
    <w:rsid w:val="007D7A88"/>
    <w:rsid w:val="007E3833"/>
    <w:rsid w:val="00826311"/>
    <w:rsid w:val="00831D45"/>
    <w:rsid w:val="0084162B"/>
    <w:rsid w:val="00843E4F"/>
    <w:rsid w:val="00844D0C"/>
    <w:rsid w:val="00847DB8"/>
    <w:rsid w:val="008506E6"/>
    <w:rsid w:val="0087516F"/>
    <w:rsid w:val="00882A31"/>
    <w:rsid w:val="008C16E5"/>
    <w:rsid w:val="008D1383"/>
    <w:rsid w:val="008E3219"/>
    <w:rsid w:val="008F104E"/>
    <w:rsid w:val="00951CCB"/>
    <w:rsid w:val="009629DD"/>
    <w:rsid w:val="00964DCB"/>
    <w:rsid w:val="00964E72"/>
    <w:rsid w:val="00972ADD"/>
    <w:rsid w:val="0097798E"/>
    <w:rsid w:val="0098271E"/>
    <w:rsid w:val="009A7857"/>
    <w:rsid w:val="009E08DB"/>
    <w:rsid w:val="009E6447"/>
    <w:rsid w:val="009F084A"/>
    <w:rsid w:val="00A170F7"/>
    <w:rsid w:val="00A17FA4"/>
    <w:rsid w:val="00A34F17"/>
    <w:rsid w:val="00A85067"/>
    <w:rsid w:val="00AE1E5D"/>
    <w:rsid w:val="00B25023"/>
    <w:rsid w:val="00B26592"/>
    <w:rsid w:val="00B345F5"/>
    <w:rsid w:val="00B46A5C"/>
    <w:rsid w:val="00B5775B"/>
    <w:rsid w:val="00B81719"/>
    <w:rsid w:val="00BA2641"/>
    <w:rsid w:val="00BE161C"/>
    <w:rsid w:val="00C34F5C"/>
    <w:rsid w:val="00C51685"/>
    <w:rsid w:val="00C61C02"/>
    <w:rsid w:val="00C76095"/>
    <w:rsid w:val="00C952B1"/>
    <w:rsid w:val="00CE1096"/>
    <w:rsid w:val="00CF5121"/>
    <w:rsid w:val="00D27C57"/>
    <w:rsid w:val="00D41B3A"/>
    <w:rsid w:val="00D57AA3"/>
    <w:rsid w:val="00D779B9"/>
    <w:rsid w:val="00D82A65"/>
    <w:rsid w:val="00DB7D49"/>
    <w:rsid w:val="00DC569D"/>
    <w:rsid w:val="00DD045F"/>
    <w:rsid w:val="00DF5128"/>
    <w:rsid w:val="00E03983"/>
    <w:rsid w:val="00E07B1A"/>
    <w:rsid w:val="00E25397"/>
    <w:rsid w:val="00E53CA8"/>
    <w:rsid w:val="00E75B0C"/>
    <w:rsid w:val="00EA56CB"/>
    <w:rsid w:val="00EB5235"/>
    <w:rsid w:val="00EC0B52"/>
    <w:rsid w:val="00EC2099"/>
    <w:rsid w:val="00EE7F91"/>
    <w:rsid w:val="00F01E41"/>
    <w:rsid w:val="00F122A8"/>
    <w:rsid w:val="00F45ADB"/>
    <w:rsid w:val="00F52CD1"/>
    <w:rsid w:val="00FA2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5F"/>
    <w:pPr>
      <w:ind w:left="720"/>
    </w:pPr>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98271E"/>
    <w:rPr>
      <w:rFonts w:ascii="Tahoma" w:hAnsi="Tahoma" w:cs="Tahoma"/>
      <w:sz w:val="16"/>
      <w:szCs w:val="16"/>
    </w:rPr>
  </w:style>
  <w:style w:type="character" w:customStyle="1" w:styleId="BalloonTextChar">
    <w:name w:val="Balloon Text Char"/>
    <w:basedOn w:val="DefaultParagraphFont"/>
    <w:link w:val="BalloonText"/>
    <w:uiPriority w:val="99"/>
    <w:semiHidden/>
    <w:rsid w:val="0098271E"/>
    <w:rPr>
      <w:rFonts w:ascii="Tahoma" w:hAnsi="Tahoma" w:cs="Tahoma"/>
      <w:sz w:val="16"/>
      <w:szCs w:val="16"/>
    </w:rPr>
  </w:style>
  <w:style w:type="table" w:styleId="TableGrid">
    <w:name w:val="Table Grid"/>
    <w:basedOn w:val="TableNormal"/>
    <w:uiPriority w:val="59"/>
    <w:rsid w:val="001D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1D6E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8F10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6B58B2"/>
    <w:rPr>
      <w:sz w:val="16"/>
      <w:szCs w:val="16"/>
    </w:rPr>
  </w:style>
  <w:style w:type="paragraph" w:styleId="CommentText">
    <w:name w:val="annotation text"/>
    <w:basedOn w:val="Normal"/>
    <w:link w:val="CommentTextChar"/>
    <w:uiPriority w:val="99"/>
    <w:semiHidden/>
    <w:unhideWhenUsed/>
    <w:rsid w:val="006B58B2"/>
    <w:rPr>
      <w:sz w:val="20"/>
      <w:szCs w:val="20"/>
    </w:rPr>
  </w:style>
  <w:style w:type="character" w:customStyle="1" w:styleId="CommentTextChar">
    <w:name w:val="Comment Text Char"/>
    <w:basedOn w:val="DefaultParagraphFont"/>
    <w:link w:val="CommentText"/>
    <w:uiPriority w:val="99"/>
    <w:semiHidden/>
    <w:rsid w:val="006B58B2"/>
    <w:rPr>
      <w:rFonts w:ascii="Arial" w:hAnsi="Arial"/>
    </w:rPr>
  </w:style>
  <w:style w:type="paragraph" w:styleId="CommentSubject">
    <w:name w:val="annotation subject"/>
    <w:basedOn w:val="CommentText"/>
    <w:next w:val="CommentText"/>
    <w:link w:val="CommentSubjectChar"/>
    <w:uiPriority w:val="99"/>
    <w:semiHidden/>
    <w:unhideWhenUsed/>
    <w:rsid w:val="006B58B2"/>
    <w:rPr>
      <w:b/>
      <w:bCs/>
    </w:rPr>
  </w:style>
  <w:style w:type="character" w:customStyle="1" w:styleId="CommentSubjectChar">
    <w:name w:val="Comment Subject Char"/>
    <w:basedOn w:val="CommentTextChar"/>
    <w:link w:val="CommentSubject"/>
    <w:uiPriority w:val="99"/>
    <w:semiHidden/>
    <w:rsid w:val="006B58B2"/>
    <w:rPr>
      <w:rFonts w:ascii="Arial" w:hAnsi="Arial"/>
      <w:b/>
      <w:bCs/>
    </w:rPr>
  </w:style>
  <w:style w:type="paragraph" w:customStyle="1" w:styleId="CharChar1CharCharCharCharCharCharCharCharChar">
    <w:name w:val="Char Char1 Char Char Char Char Char Char Char Char Char"/>
    <w:basedOn w:val="Normal"/>
    <w:rsid w:val="00494BE9"/>
    <w:pPr>
      <w:spacing w:after="160" w:line="240" w:lineRule="exact"/>
    </w:pPr>
    <w:rPr>
      <w:rFonts w:ascii="Verdana" w:hAnsi="Verdana"/>
      <w:sz w:val="20"/>
      <w:szCs w:val="20"/>
      <w:lang w:val="en-US" w:eastAsia="en-US"/>
    </w:rPr>
  </w:style>
  <w:style w:type="paragraph" w:styleId="Revision">
    <w:name w:val="Revision"/>
    <w:hidden/>
    <w:uiPriority w:val="99"/>
    <w:semiHidden/>
    <w:rsid w:val="0024354F"/>
    <w:rPr>
      <w:rFonts w:ascii="Arial" w:hAnsi="Arial"/>
      <w:sz w:val="24"/>
      <w:szCs w:val="24"/>
    </w:rPr>
  </w:style>
  <w:style w:type="table" w:customStyle="1" w:styleId="TableGrid1">
    <w:name w:val="Table Grid1"/>
    <w:basedOn w:val="TableNormal"/>
    <w:next w:val="TableGrid"/>
    <w:uiPriority w:val="59"/>
    <w:rsid w:val="00D27C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61C"/>
    <w:pPr>
      <w:tabs>
        <w:tab w:val="center" w:pos="4513"/>
        <w:tab w:val="right" w:pos="9026"/>
      </w:tabs>
    </w:pPr>
  </w:style>
  <w:style w:type="character" w:customStyle="1" w:styleId="HeaderChar">
    <w:name w:val="Header Char"/>
    <w:basedOn w:val="DefaultParagraphFont"/>
    <w:link w:val="Header"/>
    <w:uiPriority w:val="99"/>
    <w:rsid w:val="00BE161C"/>
    <w:rPr>
      <w:rFonts w:ascii="Arial" w:hAnsi="Arial"/>
      <w:sz w:val="24"/>
      <w:szCs w:val="24"/>
    </w:rPr>
  </w:style>
  <w:style w:type="paragraph" w:styleId="Footer">
    <w:name w:val="footer"/>
    <w:basedOn w:val="Normal"/>
    <w:link w:val="FooterChar"/>
    <w:uiPriority w:val="99"/>
    <w:unhideWhenUsed/>
    <w:rsid w:val="00BE161C"/>
    <w:pPr>
      <w:tabs>
        <w:tab w:val="center" w:pos="4513"/>
        <w:tab w:val="right" w:pos="9026"/>
      </w:tabs>
    </w:pPr>
  </w:style>
  <w:style w:type="character" w:customStyle="1" w:styleId="FooterChar">
    <w:name w:val="Footer Char"/>
    <w:basedOn w:val="DefaultParagraphFont"/>
    <w:link w:val="Footer"/>
    <w:uiPriority w:val="99"/>
    <w:rsid w:val="00BE161C"/>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5F"/>
    <w:pPr>
      <w:ind w:left="720"/>
    </w:pPr>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98271E"/>
    <w:rPr>
      <w:rFonts w:ascii="Tahoma" w:hAnsi="Tahoma" w:cs="Tahoma"/>
      <w:sz w:val="16"/>
      <w:szCs w:val="16"/>
    </w:rPr>
  </w:style>
  <w:style w:type="character" w:customStyle="1" w:styleId="BalloonTextChar">
    <w:name w:val="Balloon Text Char"/>
    <w:basedOn w:val="DefaultParagraphFont"/>
    <w:link w:val="BalloonText"/>
    <w:uiPriority w:val="99"/>
    <w:semiHidden/>
    <w:rsid w:val="0098271E"/>
    <w:rPr>
      <w:rFonts w:ascii="Tahoma" w:hAnsi="Tahoma" w:cs="Tahoma"/>
      <w:sz w:val="16"/>
      <w:szCs w:val="16"/>
    </w:rPr>
  </w:style>
  <w:style w:type="table" w:styleId="TableGrid">
    <w:name w:val="Table Grid"/>
    <w:basedOn w:val="TableNormal"/>
    <w:uiPriority w:val="59"/>
    <w:rsid w:val="001D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1D6E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8F10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6B58B2"/>
    <w:rPr>
      <w:sz w:val="16"/>
      <w:szCs w:val="16"/>
    </w:rPr>
  </w:style>
  <w:style w:type="paragraph" w:styleId="CommentText">
    <w:name w:val="annotation text"/>
    <w:basedOn w:val="Normal"/>
    <w:link w:val="CommentTextChar"/>
    <w:uiPriority w:val="99"/>
    <w:semiHidden/>
    <w:unhideWhenUsed/>
    <w:rsid w:val="006B58B2"/>
    <w:rPr>
      <w:sz w:val="20"/>
      <w:szCs w:val="20"/>
    </w:rPr>
  </w:style>
  <w:style w:type="character" w:customStyle="1" w:styleId="CommentTextChar">
    <w:name w:val="Comment Text Char"/>
    <w:basedOn w:val="DefaultParagraphFont"/>
    <w:link w:val="CommentText"/>
    <w:uiPriority w:val="99"/>
    <w:semiHidden/>
    <w:rsid w:val="006B58B2"/>
    <w:rPr>
      <w:rFonts w:ascii="Arial" w:hAnsi="Arial"/>
    </w:rPr>
  </w:style>
  <w:style w:type="paragraph" w:styleId="CommentSubject">
    <w:name w:val="annotation subject"/>
    <w:basedOn w:val="CommentText"/>
    <w:next w:val="CommentText"/>
    <w:link w:val="CommentSubjectChar"/>
    <w:uiPriority w:val="99"/>
    <w:semiHidden/>
    <w:unhideWhenUsed/>
    <w:rsid w:val="006B58B2"/>
    <w:rPr>
      <w:b/>
      <w:bCs/>
    </w:rPr>
  </w:style>
  <w:style w:type="character" w:customStyle="1" w:styleId="CommentSubjectChar">
    <w:name w:val="Comment Subject Char"/>
    <w:basedOn w:val="CommentTextChar"/>
    <w:link w:val="CommentSubject"/>
    <w:uiPriority w:val="99"/>
    <w:semiHidden/>
    <w:rsid w:val="006B58B2"/>
    <w:rPr>
      <w:rFonts w:ascii="Arial" w:hAnsi="Arial"/>
      <w:b/>
      <w:bCs/>
    </w:rPr>
  </w:style>
  <w:style w:type="paragraph" w:customStyle="1" w:styleId="CharChar1CharCharCharCharCharCharCharCharChar">
    <w:name w:val="Char Char1 Char Char Char Char Char Char Char Char Char"/>
    <w:basedOn w:val="Normal"/>
    <w:rsid w:val="00494BE9"/>
    <w:pPr>
      <w:spacing w:after="160" w:line="240" w:lineRule="exact"/>
    </w:pPr>
    <w:rPr>
      <w:rFonts w:ascii="Verdana" w:hAnsi="Verdana"/>
      <w:sz w:val="20"/>
      <w:szCs w:val="20"/>
      <w:lang w:val="en-US" w:eastAsia="en-US"/>
    </w:rPr>
  </w:style>
  <w:style w:type="paragraph" w:styleId="Revision">
    <w:name w:val="Revision"/>
    <w:hidden/>
    <w:uiPriority w:val="99"/>
    <w:semiHidden/>
    <w:rsid w:val="0024354F"/>
    <w:rPr>
      <w:rFonts w:ascii="Arial" w:hAnsi="Arial"/>
      <w:sz w:val="24"/>
      <w:szCs w:val="24"/>
    </w:rPr>
  </w:style>
  <w:style w:type="table" w:customStyle="1" w:styleId="TableGrid1">
    <w:name w:val="Table Grid1"/>
    <w:basedOn w:val="TableNormal"/>
    <w:next w:val="TableGrid"/>
    <w:uiPriority w:val="59"/>
    <w:rsid w:val="00D27C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61C"/>
    <w:pPr>
      <w:tabs>
        <w:tab w:val="center" w:pos="4513"/>
        <w:tab w:val="right" w:pos="9026"/>
      </w:tabs>
    </w:pPr>
  </w:style>
  <w:style w:type="character" w:customStyle="1" w:styleId="HeaderChar">
    <w:name w:val="Header Char"/>
    <w:basedOn w:val="DefaultParagraphFont"/>
    <w:link w:val="Header"/>
    <w:uiPriority w:val="99"/>
    <w:rsid w:val="00BE161C"/>
    <w:rPr>
      <w:rFonts w:ascii="Arial" w:hAnsi="Arial"/>
      <w:sz w:val="24"/>
      <w:szCs w:val="24"/>
    </w:rPr>
  </w:style>
  <w:style w:type="paragraph" w:styleId="Footer">
    <w:name w:val="footer"/>
    <w:basedOn w:val="Normal"/>
    <w:link w:val="FooterChar"/>
    <w:uiPriority w:val="99"/>
    <w:unhideWhenUsed/>
    <w:rsid w:val="00BE161C"/>
    <w:pPr>
      <w:tabs>
        <w:tab w:val="center" w:pos="4513"/>
        <w:tab w:val="right" w:pos="9026"/>
      </w:tabs>
    </w:pPr>
  </w:style>
  <w:style w:type="character" w:customStyle="1" w:styleId="FooterChar">
    <w:name w:val="Footer Char"/>
    <w:basedOn w:val="DefaultParagraphFont"/>
    <w:link w:val="Footer"/>
    <w:uiPriority w:val="99"/>
    <w:rsid w:val="00BE161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5829">
      <w:bodyDiv w:val="1"/>
      <w:marLeft w:val="0"/>
      <w:marRight w:val="0"/>
      <w:marTop w:val="0"/>
      <w:marBottom w:val="0"/>
      <w:divBdr>
        <w:top w:val="none" w:sz="0" w:space="0" w:color="auto"/>
        <w:left w:val="none" w:sz="0" w:space="0" w:color="auto"/>
        <w:bottom w:val="none" w:sz="0" w:space="0" w:color="auto"/>
        <w:right w:val="none" w:sz="0" w:space="0" w:color="auto"/>
      </w:divBdr>
    </w:div>
    <w:div w:id="819615668">
      <w:bodyDiv w:val="1"/>
      <w:marLeft w:val="0"/>
      <w:marRight w:val="0"/>
      <w:marTop w:val="0"/>
      <w:marBottom w:val="0"/>
      <w:divBdr>
        <w:top w:val="none" w:sz="0" w:space="0" w:color="auto"/>
        <w:left w:val="none" w:sz="0" w:space="0" w:color="auto"/>
        <w:bottom w:val="none" w:sz="0" w:space="0" w:color="auto"/>
        <w:right w:val="none" w:sz="0" w:space="0" w:color="auto"/>
      </w:divBdr>
    </w:div>
    <w:div w:id="1111510987">
      <w:bodyDiv w:val="1"/>
      <w:marLeft w:val="0"/>
      <w:marRight w:val="0"/>
      <w:marTop w:val="0"/>
      <w:marBottom w:val="0"/>
      <w:divBdr>
        <w:top w:val="none" w:sz="0" w:space="0" w:color="auto"/>
        <w:left w:val="none" w:sz="0" w:space="0" w:color="auto"/>
        <w:bottom w:val="none" w:sz="0" w:space="0" w:color="auto"/>
        <w:right w:val="none" w:sz="0" w:space="0" w:color="auto"/>
      </w:divBdr>
    </w:div>
    <w:div w:id="1149589373">
      <w:bodyDiv w:val="1"/>
      <w:marLeft w:val="0"/>
      <w:marRight w:val="0"/>
      <w:marTop w:val="0"/>
      <w:marBottom w:val="0"/>
      <w:divBdr>
        <w:top w:val="none" w:sz="0" w:space="0" w:color="auto"/>
        <w:left w:val="none" w:sz="0" w:space="0" w:color="auto"/>
        <w:bottom w:val="none" w:sz="0" w:space="0" w:color="auto"/>
        <w:right w:val="none" w:sz="0" w:space="0" w:color="auto"/>
      </w:divBdr>
    </w:div>
    <w:div w:id="1201169478">
      <w:bodyDiv w:val="1"/>
      <w:marLeft w:val="0"/>
      <w:marRight w:val="0"/>
      <w:marTop w:val="0"/>
      <w:marBottom w:val="0"/>
      <w:divBdr>
        <w:top w:val="none" w:sz="0" w:space="0" w:color="auto"/>
        <w:left w:val="none" w:sz="0" w:space="0" w:color="auto"/>
        <w:bottom w:val="none" w:sz="0" w:space="0" w:color="auto"/>
        <w:right w:val="none" w:sz="0" w:space="0" w:color="auto"/>
      </w:divBdr>
    </w:div>
    <w:div w:id="12434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chard_morgan@bathnes.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D4923FB23343D2A39AB5936D57DECE"/>
        <w:category>
          <w:name w:val="General"/>
          <w:gallery w:val="placeholder"/>
        </w:category>
        <w:types>
          <w:type w:val="bbPlcHdr"/>
        </w:types>
        <w:behaviors>
          <w:behavior w:val="content"/>
        </w:behaviors>
        <w:guid w:val="{0FF97C50-E73A-403D-A2CD-7C1D0445AC8A}"/>
      </w:docPartPr>
      <w:docPartBody>
        <w:p w:rsidR="00000000" w:rsidRDefault="009568CC" w:rsidP="009568CC">
          <w:pPr>
            <w:pStyle w:val="E9D4923FB23343D2A39AB5936D57DEC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CC"/>
    <w:rsid w:val="0095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4923FB23343D2A39AB5936D57DECE">
    <w:name w:val="E9D4923FB23343D2A39AB5936D57DECE"/>
    <w:rsid w:val="009568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4923FB23343D2A39AB5936D57DECE">
    <w:name w:val="E9D4923FB23343D2A39AB5936D57DECE"/>
    <w:rsid w:val="00956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B2B3-36C2-433E-A26B-2BF8164E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Dartington</dc:creator>
  <cp:lastModifiedBy>Lorraine Elms</cp:lastModifiedBy>
  <cp:revision>6</cp:revision>
  <cp:lastPrinted>2015-11-10T13:41:00Z</cp:lastPrinted>
  <dcterms:created xsi:type="dcterms:W3CDTF">2015-09-14T10:44:00Z</dcterms:created>
  <dcterms:modified xsi:type="dcterms:W3CDTF">2015-11-10T13:43:00Z</dcterms:modified>
</cp:coreProperties>
</file>