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5E" w:rsidRDefault="007420E6" w:rsidP="00D40848">
      <w:pPr>
        <w:rPr>
          <w:sz w:val="56"/>
          <w:szCs w:val="56"/>
        </w:rPr>
      </w:pPr>
      <w:r>
        <w:rPr>
          <w:b/>
          <w:bCs/>
          <w:noProof/>
          <w:sz w:val="32"/>
          <w:szCs w:val="32"/>
          <w:lang w:eastAsia="en-GB"/>
        </w:rPr>
        <mc:AlternateContent>
          <mc:Choice Requires="wps">
            <w:drawing>
              <wp:anchor distT="0" distB="0" distL="114300" distR="114300" simplePos="0" relativeHeight="251664384" behindDoc="0" locked="0" layoutInCell="1" allowOverlap="1" wp14:anchorId="3AF9CC51" wp14:editId="1C201931">
                <wp:simplePos x="0" y="0"/>
                <wp:positionH relativeFrom="column">
                  <wp:posOffset>5086351</wp:posOffset>
                </wp:positionH>
                <wp:positionV relativeFrom="paragraph">
                  <wp:posOffset>-361950</wp:posOffset>
                </wp:positionV>
                <wp:extent cx="668020" cy="457200"/>
                <wp:effectExtent l="0" t="0" r="1778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457200"/>
                        </a:xfrm>
                        <a:prstGeom prst="rect">
                          <a:avLst/>
                        </a:prstGeom>
                        <a:solidFill>
                          <a:srgbClr val="FFFFFF"/>
                        </a:solidFill>
                        <a:ln w="9525">
                          <a:solidFill>
                            <a:srgbClr val="000000"/>
                          </a:solidFill>
                          <a:miter lim="800000"/>
                          <a:headEnd/>
                          <a:tailEnd/>
                        </a:ln>
                      </wps:spPr>
                      <wps:txbx>
                        <w:txbxContent>
                          <w:p w:rsidR="007420E6" w:rsidRPr="00E24FAB" w:rsidRDefault="007420E6" w:rsidP="00F228BB">
                            <w:pPr>
                              <w:jc w:val="center"/>
                              <w:rPr>
                                <w:b/>
                                <w:sz w:val="44"/>
                                <w:szCs w:val="44"/>
                              </w:rPr>
                            </w:pPr>
                            <w:bookmarkStart w:id="0" w:name="_GoBack"/>
                            <w:r>
                              <w:rPr>
                                <w:b/>
                                <w:sz w:val="44"/>
                                <w:szCs w:val="44"/>
                              </w:rPr>
                              <w:t>5.1</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0.5pt;margin-top:-28.5pt;width:52.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">
                <v:textbox>
                  <w:txbxContent>
                    <w:p w:rsidR="007420E6" w:rsidRPr="00E24FAB" w:rsidRDefault="007420E6" w:rsidP="00F228BB">
                      <w:pPr>
                        <w:jc w:val="center"/>
                        <w:rPr>
                          <w:b/>
                          <w:sz w:val="44"/>
                          <w:szCs w:val="44"/>
                        </w:rPr>
                      </w:pPr>
                      <w:bookmarkStart w:id="1" w:name="_GoBack"/>
                      <w:r>
                        <w:rPr>
                          <w:b/>
                          <w:sz w:val="44"/>
                          <w:szCs w:val="44"/>
                        </w:rPr>
                        <w:t>5.1</w:t>
                      </w:r>
                      <w:bookmarkEnd w:id="1"/>
                    </w:p>
                  </w:txbxContent>
                </v:textbox>
              </v:shape>
            </w:pict>
          </mc:Fallback>
        </mc:AlternateContent>
      </w:r>
      <w:r w:rsidR="00F10BDD">
        <w:rPr>
          <w:b/>
          <w:bCs/>
          <w:noProof/>
          <w:sz w:val="32"/>
          <w:szCs w:val="32"/>
          <w:lang w:eastAsia="en-GB"/>
        </w:rPr>
        <w:drawing>
          <wp:anchor distT="0" distB="0" distL="114300" distR="114300" simplePos="0" relativeHeight="251661312" behindDoc="0" locked="0" layoutInCell="1" allowOverlap="1" wp14:anchorId="0BB5198A" wp14:editId="3DA17676">
            <wp:simplePos x="0" y="0"/>
            <wp:positionH relativeFrom="column">
              <wp:posOffset>-230505</wp:posOffset>
            </wp:positionH>
            <wp:positionV relativeFrom="paragraph">
              <wp:posOffset>-386080</wp:posOffset>
            </wp:positionV>
            <wp:extent cx="1775460" cy="67691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676910"/>
                    </a:xfrm>
                    <a:prstGeom prst="rect">
                      <a:avLst/>
                    </a:prstGeom>
                    <a:noFill/>
                  </pic:spPr>
                </pic:pic>
              </a:graphicData>
            </a:graphic>
            <wp14:sizeRelH relativeFrom="page">
              <wp14:pctWidth>0</wp14:pctWidth>
            </wp14:sizeRelH>
            <wp14:sizeRelV relativeFrom="page">
              <wp14:pctHeight>0</wp14:pctHeight>
            </wp14:sizeRelV>
          </wp:anchor>
        </w:drawing>
      </w:r>
      <w:r w:rsidR="00F10BDD">
        <w:rPr>
          <w:b/>
          <w:bCs/>
          <w:noProof/>
          <w:sz w:val="32"/>
          <w:szCs w:val="32"/>
          <w:lang w:eastAsia="en-GB"/>
        </w:rPr>
        <w:drawing>
          <wp:anchor distT="0" distB="0" distL="114300" distR="114300" simplePos="0" relativeHeight="251659264" behindDoc="0" locked="0" layoutInCell="1" allowOverlap="1" wp14:anchorId="764A5099" wp14:editId="1C030594">
            <wp:simplePos x="0" y="0"/>
            <wp:positionH relativeFrom="column">
              <wp:posOffset>6852920</wp:posOffset>
            </wp:positionH>
            <wp:positionV relativeFrom="paragraph">
              <wp:posOffset>-241300</wp:posOffset>
            </wp:positionV>
            <wp:extent cx="2473325" cy="641985"/>
            <wp:effectExtent l="133350" t="114300" r="155575" b="1581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3325" cy="6419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D40848" w:rsidRDefault="00D40848" w:rsidP="00335E26">
      <w:pPr>
        <w:jc w:val="center"/>
        <w:rPr>
          <w:sz w:val="72"/>
          <w:szCs w:val="72"/>
        </w:rPr>
      </w:pPr>
    </w:p>
    <w:p w:rsidR="007D6276" w:rsidRDefault="007D6276" w:rsidP="00335E26">
      <w:pPr>
        <w:jc w:val="center"/>
        <w:rPr>
          <w:sz w:val="72"/>
          <w:szCs w:val="72"/>
        </w:rPr>
      </w:pPr>
    </w:p>
    <w:p w:rsidR="007D6276" w:rsidRDefault="007D6276" w:rsidP="00335E26">
      <w:pPr>
        <w:jc w:val="center"/>
        <w:rPr>
          <w:sz w:val="72"/>
          <w:szCs w:val="72"/>
        </w:rPr>
      </w:pPr>
    </w:p>
    <w:p w:rsidR="003D2666" w:rsidRPr="00A228ED" w:rsidRDefault="00335E26" w:rsidP="00335E26">
      <w:pPr>
        <w:jc w:val="center"/>
        <w:rPr>
          <w:sz w:val="72"/>
          <w:szCs w:val="72"/>
        </w:rPr>
      </w:pPr>
      <w:r w:rsidRPr="00A228ED">
        <w:rPr>
          <w:sz w:val="72"/>
          <w:szCs w:val="72"/>
        </w:rPr>
        <w:t>SUPPORTING PUPILS</w:t>
      </w:r>
    </w:p>
    <w:p w:rsidR="00335E26" w:rsidRPr="00A228ED" w:rsidRDefault="007D6276" w:rsidP="00335E26">
      <w:pPr>
        <w:jc w:val="center"/>
        <w:rPr>
          <w:sz w:val="72"/>
          <w:szCs w:val="72"/>
        </w:rPr>
      </w:pPr>
      <w:r w:rsidRPr="00A228ED">
        <w:rPr>
          <w:sz w:val="72"/>
          <w:szCs w:val="72"/>
        </w:rPr>
        <w:t xml:space="preserve">AT SCHOOL </w:t>
      </w:r>
      <w:r w:rsidR="00335E26" w:rsidRPr="00A228ED">
        <w:rPr>
          <w:sz w:val="72"/>
          <w:szCs w:val="72"/>
        </w:rPr>
        <w:t>WITH</w:t>
      </w:r>
    </w:p>
    <w:p w:rsidR="00335E26" w:rsidRPr="00A228ED" w:rsidRDefault="00335E26" w:rsidP="00335E26">
      <w:pPr>
        <w:jc w:val="center"/>
        <w:rPr>
          <w:sz w:val="72"/>
          <w:szCs w:val="72"/>
        </w:rPr>
      </w:pPr>
      <w:r w:rsidRPr="00A228ED">
        <w:rPr>
          <w:sz w:val="72"/>
          <w:szCs w:val="72"/>
        </w:rPr>
        <w:t>MEDICAL CONDITIONS</w:t>
      </w:r>
    </w:p>
    <w:p w:rsidR="00D40848" w:rsidRPr="00A228ED" w:rsidRDefault="000D7E8D" w:rsidP="00335E26">
      <w:pPr>
        <w:jc w:val="center"/>
        <w:rPr>
          <w:sz w:val="44"/>
          <w:szCs w:val="44"/>
        </w:rPr>
      </w:pPr>
      <w:r w:rsidRPr="00A228ED">
        <w:rPr>
          <w:sz w:val="44"/>
          <w:szCs w:val="44"/>
        </w:rPr>
        <w:t>Local Authority Guidance for Schools</w:t>
      </w:r>
    </w:p>
    <w:p w:rsidR="007D6276" w:rsidRPr="00A228ED" w:rsidRDefault="007D6276" w:rsidP="00D40848">
      <w:pPr>
        <w:rPr>
          <w:sz w:val="56"/>
          <w:szCs w:val="56"/>
        </w:rPr>
      </w:pPr>
    </w:p>
    <w:p w:rsidR="007D6276" w:rsidRPr="00A228ED" w:rsidRDefault="007D6276" w:rsidP="00D40848">
      <w:pPr>
        <w:rPr>
          <w:sz w:val="56"/>
          <w:szCs w:val="56"/>
        </w:rPr>
      </w:pPr>
    </w:p>
    <w:p w:rsidR="00D40848" w:rsidRPr="00A228ED" w:rsidRDefault="00D40848" w:rsidP="002A4F2D">
      <w:pPr>
        <w:ind w:left="1440" w:firstLine="720"/>
        <w:rPr>
          <w:sz w:val="56"/>
          <w:szCs w:val="56"/>
        </w:rPr>
      </w:pPr>
      <w:r w:rsidRPr="00A228ED">
        <w:rPr>
          <w:sz w:val="56"/>
          <w:szCs w:val="56"/>
        </w:rPr>
        <w:t>September 2017</w:t>
      </w:r>
    </w:p>
    <w:p w:rsidR="008D6F2D" w:rsidRPr="00A228ED" w:rsidRDefault="007D6276">
      <w:r w:rsidRPr="00A228ED">
        <w:br w:type="page"/>
      </w:r>
    </w:p>
    <w:p w:rsidR="007D6276" w:rsidRPr="00A228ED" w:rsidRDefault="00F10BDD">
      <w:r w:rsidRPr="00A228ED">
        <w:rPr>
          <w:b/>
          <w:bCs/>
          <w:noProof/>
          <w:sz w:val="32"/>
          <w:szCs w:val="32"/>
          <w:lang w:eastAsia="en-GB"/>
        </w:rPr>
        <w:lastRenderedPageBreak/>
        <w:drawing>
          <wp:anchor distT="0" distB="0" distL="114300" distR="114300" simplePos="0" relativeHeight="251663360" behindDoc="0" locked="0" layoutInCell="1" allowOverlap="1" wp14:anchorId="4551065C" wp14:editId="506DC8B8">
            <wp:simplePos x="0" y="0"/>
            <wp:positionH relativeFrom="column">
              <wp:posOffset>-363855</wp:posOffset>
            </wp:positionH>
            <wp:positionV relativeFrom="paragraph">
              <wp:posOffset>-357505</wp:posOffset>
            </wp:positionV>
            <wp:extent cx="1775460" cy="67691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676910"/>
                    </a:xfrm>
                    <a:prstGeom prst="rect">
                      <a:avLst/>
                    </a:prstGeom>
                    <a:noFill/>
                  </pic:spPr>
                </pic:pic>
              </a:graphicData>
            </a:graphic>
            <wp14:sizeRelH relativeFrom="page">
              <wp14:pctWidth>0</wp14:pctWidth>
            </wp14:sizeRelH>
            <wp14:sizeRelV relativeFrom="page">
              <wp14:pctHeight>0</wp14:pctHeight>
            </wp14:sizeRelV>
          </wp:anchor>
        </w:drawing>
      </w:r>
    </w:p>
    <w:p w:rsidR="00F10BDD" w:rsidRPr="00A228ED" w:rsidRDefault="00F10BDD" w:rsidP="0055524E">
      <w:pPr>
        <w:rPr>
          <w:sz w:val="32"/>
          <w:szCs w:val="32"/>
        </w:rPr>
      </w:pPr>
    </w:p>
    <w:p w:rsidR="00F10BDD" w:rsidRPr="00A228ED" w:rsidRDefault="00F10BDD" w:rsidP="0055524E">
      <w:pPr>
        <w:rPr>
          <w:sz w:val="32"/>
          <w:szCs w:val="32"/>
        </w:rPr>
      </w:pPr>
    </w:p>
    <w:p w:rsidR="00F10BDD" w:rsidRPr="00A228ED" w:rsidRDefault="00F10BDD" w:rsidP="0055524E">
      <w:pPr>
        <w:rPr>
          <w:sz w:val="32"/>
          <w:szCs w:val="32"/>
        </w:rPr>
      </w:pPr>
    </w:p>
    <w:p w:rsidR="0055524E" w:rsidRPr="00A228ED" w:rsidRDefault="0055524E" w:rsidP="0055524E">
      <w:pPr>
        <w:rPr>
          <w:sz w:val="32"/>
          <w:szCs w:val="32"/>
        </w:rPr>
      </w:pPr>
      <w:r w:rsidRPr="00A228ED">
        <w:rPr>
          <w:sz w:val="32"/>
          <w:szCs w:val="32"/>
        </w:rPr>
        <w:t>Contents</w:t>
      </w:r>
    </w:p>
    <w:p w:rsidR="0055524E" w:rsidRPr="00A228ED" w:rsidRDefault="0055524E" w:rsidP="0055524E">
      <w:pPr>
        <w:pStyle w:val="ListParagraph"/>
        <w:numPr>
          <w:ilvl w:val="0"/>
          <w:numId w:val="2"/>
        </w:numPr>
      </w:pPr>
      <w:r w:rsidRPr="00A228ED">
        <w:t>Introduction</w:t>
      </w:r>
    </w:p>
    <w:p w:rsidR="00427691" w:rsidRPr="00A228ED" w:rsidRDefault="00427691" w:rsidP="0055524E">
      <w:pPr>
        <w:pStyle w:val="ListParagraph"/>
        <w:numPr>
          <w:ilvl w:val="0"/>
          <w:numId w:val="2"/>
        </w:numPr>
      </w:pPr>
      <w:r w:rsidRPr="00A228ED">
        <w:t>Key points</w:t>
      </w:r>
    </w:p>
    <w:p w:rsidR="0055524E" w:rsidRPr="00A228ED" w:rsidRDefault="00427691" w:rsidP="0055524E">
      <w:pPr>
        <w:pStyle w:val="ListParagraph"/>
        <w:numPr>
          <w:ilvl w:val="0"/>
          <w:numId w:val="2"/>
        </w:numPr>
      </w:pPr>
      <w:r w:rsidRPr="00A228ED">
        <w:t>What do schools Need to do</w:t>
      </w:r>
    </w:p>
    <w:p w:rsidR="007D6276" w:rsidRPr="00A228ED" w:rsidRDefault="007D6276" w:rsidP="002A4F2D">
      <w:pPr>
        <w:pStyle w:val="ListParagraph"/>
        <w:numPr>
          <w:ilvl w:val="0"/>
          <w:numId w:val="19"/>
        </w:numPr>
      </w:pPr>
      <w:r w:rsidRPr="00A228ED">
        <w:t>Policy</w:t>
      </w:r>
    </w:p>
    <w:p w:rsidR="007D6276" w:rsidRPr="00A228ED" w:rsidRDefault="007D6276" w:rsidP="002A4F2D">
      <w:pPr>
        <w:pStyle w:val="ListParagraph"/>
        <w:numPr>
          <w:ilvl w:val="0"/>
          <w:numId w:val="19"/>
        </w:numPr>
      </w:pPr>
      <w:r w:rsidRPr="00A228ED">
        <w:t>Individual healthcare plans</w:t>
      </w:r>
    </w:p>
    <w:p w:rsidR="007D6276" w:rsidRPr="00A228ED" w:rsidRDefault="00427691" w:rsidP="002A4F2D">
      <w:pPr>
        <w:pStyle w:val="ListParagraph"/>
        <w:numPr>
          <w:ilvl w:val="0"/>
          <w:numId w:val="19"/>
        </w:numPr>
      </w:pPr>
      <w:r w:rsidRPr="00A228ED">
        <w:t>T</w:t>
      </w:r>
      <w:r w:rsidR="00CB7882" w:rsidRPr="00A228ED">
        <w:t xml:space="preserve">raining </w:t>
      </w:r>
    </w:p>
    <w:p w:rsidR="00CB7882" w:rsidRPr="00A228ED" w:rsidRDefault="00CB7882" w:rsidP="002A4F2D">
      <w:pPr>
        <w:pStyle w:val="ListParagraph"/>
        <w:numPr>
          <w:ilvl w:val="0"/>
          <w:numId w:val="19"/>
        </w:numPr>
      </w:pPr>
      <w:r w:rsidRPr="00A228ED">
        <w:t>Managing medicines on school premises</w:t>
      </w:r>
    </w:p>
    <w:p w:rsidR="000E3A43" w:rsidRPr="00A228ED" w:rsidRDefault="000E3A43" w:rsidP="002A4F2D">
      <w:pPr>
        <w:pStyle w:val="ListParagraph"/>
        <w:numPr>
          <w:ilvl w:val="0"/>
          <w:numId w:val="19"/>
        </w:numPr>
      </w:pPr>
      <w:r w:rsidRPr="00A228ED">
        <w:t>Emergency procedures</w:t>
      </w:r>
    </w:p>
    <w:p w:rsidR="000E3A43" w:rsidRPr="00A228ED" w:rsidRDefault="000E3A43" w:rsidP="002A4F2D">
      <w:pPr>
        <w:pStyle w:val="ListParagraph"/>
        <w:numPr>
          <w:ilvl w:val="0"/>
          <w:numId w:val="19"/>
        </w:numPr>
      </w:pPr>
      <w:r w:rsidRPr="00A228ED">
        <w:t>Day trips, residential visits and sporting activities</w:t>
      </w:r>
    </w:p>
    <w:p w:rsidR="00FE1A04" w:rsidRPr="00A228ED" w:rsidRDefault="00FE1A04" w:rsidP="002A4F2D">
      <w:pPr>
        <w:pStyle w:val="ListParagraph"/>
        <w:numPr>
          <w:ilvl w:val="0"/>
          <w:numId w:val="19"/>
        </w:numPr>
      </w:pPr>
      <w:r w:rsidRPr="00A228ED">
        <w:t>Unacceptable practice</w:t>
      </w:r>
    </w:p>
    <w:p w:rsidR="00FE1A04" w:rsidRPr="00A228ED" w:rsidRDefault="00FE1A04" w:rsidP="002A4F2D">
      <w:pPr>
        <w:pStyle w:val="ListParagraph"/>
        <w:numPr>
          <w:ilvl w:val="0"/>
          <w:numId w:val="19"/>
        </w:numPr>
      </w:pPr>
      <w:r w:rsidRPr="00A228ED">
        <w:t>Liability and indemnity</w:t>
      </w:r>
    </w:p>
    <w:p w:rsidR="00427691" w:rsidRPr="00A228ED" w:rsidRDefault="00427691" w:rsidP="00FE1A04">
      <w:pPr>
        <w:pStyle w:val="ListParagraph"/>
        <w:numPr>
          <w:ilvl w:val="0"/>
          <w:numId w:val="2"/>
        </w:numPr>
      </w:pPr>
      <w:r w:rsidRPr="00A228ED">
        <w:t>Funding</w:t>
      </w:r>
    </w:p>
    <w:p w:rsidR="00DA6CCE" w:rsidRPr="00A228ED" w:rsidRDefault="00DA6CCE" w:rsidP="00FE1A04">
      <w:pPr>
        <w:pStyle w:val="ListParagraph"/>
        <w:numPr>
          <w:ilvl w:val="0"/>
          <w:numId w:val="2"/>
        </w:numPr>
      </w:pPr>
      <w:r w:rsidRPr="00A228ED">
        <w:t>When a child cannot attend school due to medical needs</w:t>
      </w:r>
    </w:p>
    <w:p w:rsidR="005F18D9" w:rsidRPr="00A228ED" w:rsidRDefault="005F18D9" w:rsidP="005F18D9">
      <w:pPr>
        <w:pStyle w:val="ListParagraph"/>
        <w:numPr>
          <w:ilvl w:val="0"/>
          <w:numId w:val="2"/>
        </w:numPr>
      </w:pPr>
      <w:r w:rsidRPr="00A228ED">
        <w:t>Bath and North East Somerset Key Contacts for Pupils with Medical Needs</w:t>
      </w:r>
    </w:p>
    <w:p w:rsidR="005F18D9" w:rsidRPr="00A228ED" w:rsidRDefault="005F18D9" w:rsidP="005F18D9">
      <w:pPr>
        <w:pStyle w:val="ListParagraph"/>
        <w:ind w:left="644"/>
      </w:pPr>
    </w:p>
    <w:p w:rsidR="00DA6CCE" w:rsidRPr="00A228ED" w:rsidRDefault="00DA6CCE" w:rsidP="00DA6CCE">
      <w:pPr>
        <w:ind w:left="360"/>
        <w:rPr>
          <w:u w:val="single"/>
        </w:rPr>
      </w:pPr>
      <w:r w:rsidRPr="00A228ED">
        <w:rPr>
          <w:u w:val="single"/>
        </w:rPr>
        <w:t>Appendices</w:t>
      </w:r>
    </w:p>
    <w:p w:rsidR="00DA6CCE" w:rsidRPr="00A228ED" w:rsidRDefault="00DA6CCE" w:rsidP="00DA6CCE">
      <w:pPr>
        <w:ind w:left="360"/>
      </w:pPr>
      <w:r w:rsidRPr="00A228ED">
        <w:t xml:space="preserve">Appendix 1:  ‘Supporting pupils at school with medical conditions’ – Statutory guidance </w:t>
      </w:r>
      <w:proofErr w:type="spellStart"/>
      <w:r w:rsidRPr="00A228ED">
        <w:t>DfE</w:t>
      </w:r>
      <w:proofErr w:type="spellEnd"/>
    </w:p>
    <w:p w:rsidR="00DA6CCE" w:rsidRPr="00A228ED" w:rsidRDefault="00DA6CCE" w:rsidP="00DA6CCE">
      <w:pPr>
        <w:ind w:firstLine="360"/>
      </w:pPr>
      <w:r w:rsidRPr="00A228ED">
        <w:t xml:space="preserve">Appendix 2:  Model </w:t>
      </w:r>
      <w:r w:rsidR="005F18D9" w:rsidRPr="00A228ED">
        <w:t xml:space="preserve">‘Medical Conditions Policy’ </w:t>
      </w:r>
      <w:r w:rsidRPr="00A228ED">
        <w:t>for schools</w:t>
      </w:r>
    </w:p>
    <w:p w:rsidR="00DA6CCE" w:rsidRPr="00A228ED" w:rsidRDefault="00DA6CCE" w:rsidP="00DA6CCE">
      <w:pPr>
        <w:ind w:firstLine="360"/>
        <w:rPr>
          <w:u w:val="single"/>
        </w:rPr>
      </w:pPr>
      <w:r w:rsidRPr="00A228ED">
        <w:rPr>
          <w:u w:val="single"/>
        </w:rPr>
        <w:t>Templates</w:t>
      </w:r>
    </w:p>
    <w:p w:rsidR="00DA6CCE" w:rsidRPr="00A228ED" w:rsidRDefault="00DA6CCE" w:rsidP="00DA6CCE">
      <w:pPr>
        <w:ind w:left="360"/>
      </w:pPr>
      <w:r w:rsidRPr="00A228ED">
        <w:t>Templates A-G (</w:t>
      </w:r>
      <w:proofErr w:type="spellStart"/>
      <w:r w:rsidRPr="00A228ED">
        <w:t>DfE</w:t>
      </w:r>
      <w:proofErr w:type="spellEnd"/>
      <w:r w:rsidRPr="00A228ED">
        <w:t xml:space="preserve"> document and provides the full range of templates/</w:t>
      </w:r>
      <w:proofErr w:type="spellStart"/>
      <w:r w:rsidRPr="00A228ED">
        <w:t>proformas</w:t>
      </w:r>
      <w:proofErr w:type="spellEnd"/>
      <w:r w:rsidRPr="00A228ED">
        <w:t xml:space="preserve"> that you may need in order </w:t>
      </w:r>
      <w:r w:rsidR="00064FCC" w:rsidRPr="00A228ED">
        <w:t>to support pupils with medical needs in schools</w:t>
      </w:r>
      <w:r w:rsidR="000D7E8D" w:rsidRPr="00A228ED">
        <w:t>)</w:t>
      </w:r>
    </w:p>
    <w:p w:rsidR="00DA6CCE" w:rsidRPr="00A228ED" w:rsidRDefault="00DA6CCE" w:rsidP="00DA6CCE"/>
    <w:p w:rsidR="00C74392" w:rsidRPr="00A228ED" w:rsidRDefault="00C74392" w:rsidP="00841D29">
      <w:pPr>
        <w:pStyle w:val="ListParagraph"/>
      </w:pPr>
    </w:p>
    <w:p w:rsidR="00C74392" w:rsidRPr="00A228ED" w:rsidRDefault="00C74392" w:rsidP="00841D29">
      <w:pPr>
        <w:pStyle w:val="ListParagraph"/>
      </w:pPr>
    </w:p>
    <w:p w:rsidR="00C74392" w:rsidRPr="00A228ED" w:rsidRDefault="00C74392" w:rsidP="00841D29">
      <w:pPr>
        <w:pStyle w:val="ListParagraph"/>
      </w:pPr>
    </w:p>
    <w:p w:rsidR="00C74392" w:rsidRPr="00A228ED" w:rsidRDefault="00C74392" w:rsidP="00841D29">
      <w:pPr>
        <w:pStyle w:val="ListParagraph"/>
      </w:pPr>
    </w:p>
    <w:p w:rsidR="00F10BDD" w:rsidRPr="00A228ED" w:rsidRDefault="00F10BDD" w:rsidP="002A4F2D">
      <w:pPr>
        <w:ind w:firstLine="360"/>
      </w:pPr>
    </w:p>
    <w:p w:rsidR="00753987" w:rsidRPr="00A228ED" w:rsidRDefault="002A4F2D" w:rsidP="002A4F2D">
      <w:pPr>
        <w:ind w:firstLine="360"/>
      </w:pPr>
      <w:r w:rsidRPr="00A228ED">
        <w:lastRenderedPageBreak/>
        <w:t xml:space="preserve">1. </w:t>
      </w:r>
      <w:r w:rsidR="00753987" w:rsidRPr="00A228ED">
        <w:rPr>
          <w:b/>
          <w:u w:val="single"/>
        </w:rPr>
        <w:t>Introduction</w:t>
      </w:r>
    </w:p>
    <w:p w:rsidR="000D7E8D" w:rsidRPr="00A228ED" w:rsidRDefault="004F50FC" w:rsidP="006B0E05">
      <w:pPr>
        <w:ind w:left="360"/>
      </w:pPr>
      <w:r w:rsidRPr="00A228ED">
        <w:t>1.</w:t>
      </w:r>
      <w:r w:rsidR="002A4F2D" w:rsidRPr="00A228ED">
        <w:t>1</w:t>
      </w:r>
      <w:r w:rsidR="00D47DEF" w:rsidRPr="00A228ED">
        <w:t xml:space="preserve"> </w:t>
      </w:r>
      <w:r w:rsidR="00753987" w:rsidRPr="00A228ED">
        <w:t>Section 100 of the Children and Families Act</w:t>
      </w:r>
      <w:r w:rsidR="00EC3BE8" w:rsidRPr="00A228ED">
        <w:t xml:space="preserve"> </w:t>
      </w:r>
      <w:r w:rsidR="00753987" w:rsidRPr="00A228ED">
        <w:t xml:space="preserve">2014 places a duty </w:t>
      </w:r>
      <w:r w:rsidR="00EC3BE8" w:rsidRPr="00A228ED">
        <w:t>on governing bodies of maintained schools, proprietors of academies and management committe</w:t>
      </w:r>
      <w:r w:rsidR="004C5A13" w:rsidRPr="00A228ED">
        <w:t>e</w:t>
      </w:r>
      <w:r w:rsidR="00EC3BE8" w:rsidRPr="00A228ED">
        <w:t>s of PRUs to ma</w:t>
      </w:r>
      <w:r w:rsidR="004C5A13" w:rsidRPr="00A228ED">
        <w:t>ke arrangements for supporting pupils at their school with medical conditions. In response to this</w:t>
      </w:r>
      <w:r w:rsidR="00543AB3" w:rsidRPr="00A228ED">
        <w:t>,</w:t>
      </w:r>
      <w:r w:rsidR="004C5A13" w:rsidRPr="00A228ED">
        <w:t xml:space="preserve"> the </w:t>
      </w:r>
      <w:proofErr w:type="spellStart"/>
      <w:r w:rsidR="004C5A13" w:rsidRPr="00A228ED">
        <w:t>DfE</w:t>
      </w:r>
      <w:proofErr w:type="spellEnd"/>
      <w:r w:rsidR="004C5A13" w:rsidRPr="00A228ED">
        <w:t xml:space="preserve"> published statutory guidance,</w:t>
      </w:r>
      <w:r w:rsidR="00513EE4" w:rsidRPr="00A228ED">
        <w:t xml:space="preserve"> ‘Supporting pupils at school with medical conditions’ in September 2014, updated December 2015</w:t>
      </w:r>
      <w:r w:rsidR="00357B29" w:rsidRPr="00A228ED">
        <w:t xml:space="preserve"> </w:t>
      </w:r>
      <w:r w:rsidR="00A41AA1" w:rsidRPr="00A228ED">
        <w:t>(</w:t>
      </w:r>
      <w:r w:rsidR="009D0323" w:rsidRPr="00A228ED">
        <w:t>Appendix 1</w:t>
      </w:r>
      <w:r w:rsidR="00A41AA1" w:rsidRPr="00A228ED">
        <w:t>)</w:t>
      </w:r>
      <w:r w:rsidR="00513EE4" w:rsidRPr="00A228ED">
        <w:t>.</w:t>
      </w:r>
      <w:r w:rsidR="000D7E8D" w:rsidRPr="00A228ED">
        <w:t xml:space="preserve"> The local authority guidance is based on this document.</w:t>
      </w:r>
    </w:p>
    <w:p w:rsidR="00627324" w:rsidRPr="00A228ED" w:rsidRDefault="004F50FC" w:rsidP="006B0E05">
      <w:pPr>
        <w:ind w:left="360"/>
      </w:pPr>
      <w:r w:rsidRPr="00A228ED">
        <w:t>1.</w:t>
      </w:r>
      <w:r w:rsidR="00DC45EF" w:rsidRPr="00A228ED">
        <w:t>2</w:t>
      </w:r>
      <w:r w:rsidR="00325EDD" w:rsidRPr="00A228ED">
        <w:t xml:space="preserve"> </w:t>
      </w:r>
      <w:r w:rsidR="0079368F" w:rsidRPr="00A228ED">
        <w:t xml:space="preserve">In this </w:t>
      </w:r>
      <w:r w:rsidR="000D7E8D" w:rsidRPr="00A228ED">
        <w:t>guidance</w:t>
      </w:r>
      <w:r w:rsidR="0079368F" w:rsidRPr="00A228ED">
        <w:t xml:space="preserve">, references to ‘governing body’ include proprietors in academies and management committees of PRUs. </w:t>
      </w:r>
    </w:p>
    <w:p w:rsidR="00D711EC" w:rsidRPr="00A228ED" w:rsidRDefault="002A4F2D" w:rsidP="006B0E05">
      <w:pPr>
        <w:ind w:left="360"/>
        <w:rPr>
          <w:b/>
          <w:u w:val="single"/>
        </w:rPr>
      </w:pPr>
      <w:r w:rsidRPr="00A228ED">
        <w:rPr>
          <w:b/>
          <w:u w:val="single"/>
        </w:rPr>
        <w:t xml:space="preserve">2. </w:t>
      </w:r>
      <w:r w:rsidR="004152CB" w:rsidRPr="00A228ED">
        <w:rPr>
          <w:b/>
          <w:u w:val="single"/>
        </w:rPr>
        <w:t xml:space="preserve">Key </w:t>
      </w:r>
      <w:r w:rsidR="00D711EC" w:rsidRPr="00A228ED">
        <w:rPr>
          <w:b/>
          <w:u w:val="single"/>
        </w:rPr>
        <w:t>Points</w:t>
      </w:r>
    </w:p>
    <w:p w:rsidR="00D711EC" w:rsidRPr="00A228ED" w:rsidRDefault="004F50FC" w:rsidP="00325EDD">
      <w:pPr>
        <w:ind w:left="360"/>
      </w:pPr>
      <w:r w:rsidRPr="00A228ED">
        <w:t>2.</w:t>
      </w:r>
      <w:r w:rsidR="002A4F2D" w:rsidRPr="00A228ED">
        <w:t>1</w:t>
      </w:r>
      <w:r w:rsidR="00325EDD" w:rsidRPr="00A228ED">
        <w:t xml:space="preserve"> </w:t>
      </w:r>
      <w:r w:rsidR="00D711EC" w:rsidRPr="00A228ED">
        <w:t>Pupils at school with medical conditions should be properly supported so that they have full access to education, including school trips and physical education.</w:t>
      </w:r>
    </w:p>
    <w:p w:rsidR="00D711EC" w:rsidRPr="00A228ED" w:rsidRDefault="004F50FC" w:rsidP="00325EDD">
      <w:pPr>
        <w:ind w:left="360"/>
      </w:pPr>
      <w:r w:rsidRPr="00A228ED">
        <w:t>2.1</w:t>
      </w:r>
      <w:r w:rsidR="00325EDD" w:rsidRPr="00A228ED">
        <w:t xml:space="preserve"> </w:t>
      </w:r>
      <w:r w:rsidR="00D711EC" w:rsidRPr="00A228ED">
        <w:t>Governing bodies must ensure that arrangements are in place in schools to support pupils at school with medical conditions.</w:t>
      </w:r>
    </w:p>
    <w:p w:rsidR="00D711EC" w:rsidRPr="00A228ED" w:rsidRDefault="004F50FC" w:rsidP="00325EDD">
      <w:pPr>
        <w:ind w:left="360"/>
      </w:pPr>
      <w:r w:rsidRPr="00A228ED">
        <w:t>2.2</w:t>
      </w:r>
      <w:r w:rsidR="00325EDD" w:rsidRPr="00A228ED">
        <w:t xml:space="preserve"> </w:t>
      </w:r>
      <w:r w:rsidR="00D711EC" w:rsidRPr="00A228ED">
        <w:t>Governing bodies should ensure that school leaders consult health and social care professionals, pupils and parents to ensure that the needs of children with medical conditions are properly understood.</w:t>
      </w:r>
    </w:p>
    <w:p w:rsidR="00391632" w:rsidRPr="00A228ED" w:rsidRDefault="002A4F2D" w:rsidP="006B0E05">
      <w:pPr>
        <w:ind w:firstLine="360"/>
        <w:rPr>
          <w:b/>
          <w:u w:val="single"/>
        </w:rPr>
      </w:pPr>
      <w:r w:rsidRPr="00A228ED">
        <w:rPr>
          <w:b/>
          <w:u w:val="single"/>
        </w:rPr>
        <w:t xml:space="preserve">3. </w:t>
      </w:r>
      <w:r w:rsidR="00391632" w:rsidRPr="00A228ED">
        <w:rPr>
          <w:b/>
          <w:u w:val="single"/>
        </w:rPr>
        <w:t>What Do Schools Need to Do?</w:t>
      </w:r>
    </w:p>
    <w:p w:rsidR="00427691" w:rsidRPr="00A228ED" w:rsidRDefault="00812700" w:rsidP="00427691">
      <w:pPr>
        <w:ind w:left="360"/>
        <w:rPr>
          <w:u w:val="single"/>
        </w:rPr>
      </w:pPr>
      <w:r w:rsidRPr="00A228ED">
        <w:rPr>
          <w:u w:val="single"/>
        </w:rPr>
        <w:t>Policies</w:t>
      </w:r>
    </w:p>
    <w:p w:rsidR="00391632" w:rsidRPr="00A228ED" w:rsidRDefault="004F50FC" w:rsidP="00427691">
      <w:pPr>
        <w:ind w:left="360"/>
      </w:pPr>
      <w:r w:rsidRPr="00A228ED">
        <w:t xml:space="preserve">3.1 </w:t>
      </w:r>
      <w:r w:rsidR="00391632" w:rsidRPr="00A228ED">
        <w:t>Governing bodies should ensure that all schools develop a policy for supporting pupils with medical conditions that is reviewed re</w:t>
      </w:r>
      <w:r w:rsidR="00A41AA1" w:rsidRPr="00A228ED">
        <w:t>gularly</w:t>
      </w:r>
      <w:r w:rsidR="00391632" w:rsidRPr="00A228ED">
        <w:t xml:space="preserve"> and is readily accessible to parents and school staff.</w:t>
      </w:r>
      <w:r w:rsidR="00812700" w:rsidRPr="00A228ED">
        <w:t xml:space="preserve"> </w:t>
      </w:r>
      <w:r w:rsidR="00A41AA1" w:rsidRPr="00A228ED">
        <w:t xml:space="preserve">A model </w:t>
      </w:r>
      <w:r w:rsidR="000D7E8D" w:rsidRPr="00A228ED">
        <w:t>‘Medical Conditions Policy’</w:t>
      </w:r>
      <w:r w:rsidR="00A41AA1" w:rsidRPr="00A228ED">
        <w:t xml:space="preserve"> for schools (Appendix 2) has been devised between schools in </w:t>
      </w:r>
      <w:r w:rsidR="00812700" w:rsidRPr="00A228ED">
        <w:t>Bath and North East Somerset</w:t>
      </w:r>
      <w:r w:rsidR="00A41AA1" w:rsidRPr="00A228ED">
        <w:t xml:space="preserve"> and the local authority and</w:t>
      </w:r>
      <w:r w:rsidR="00812700" w:rsidRPr="00A228ED">
        <w:t xml:space="preserve"> may be adapted</w:t>
      </w:r>
      <w:r w:rsidR="00A41AA1" w:rsidRPr="00A228ED">
        <w:t>.</w:t>
      </w:r>
    </w:p>
    <w:p w:rsidR="00427691" w:rsidRPr="00A228ED" w:rsidRDefault="004F50FC" w:rsidP="00427691">
      <w:pPr>
        <w:ind w:firstLine="360"/>
        <w:rPr>
          <w:u w:val="single"/>
        </w:rPr>
      </w:pPr>
      <w:r w:rsidRPr="00A228ED">
        <w:rPr>
          <w:u w:val="single"/>
        </w:rPr>
        <w:t>I</w:t>
      </w:r>
      <w:r w:rsidR="00812700" w:rsidRPr="00A228ED">
        <w:rPr>
          <w:u w:val="single"/>
        </w:rPr>
        <w:t xml:space="preserve">ndividual </w:t>
      </w:r>
      <w:r w:rsidR="003D2A30" w:rsidRPr="00A228ED">
        <w:rPr>
          <w:u w:val="single"/>
        </w:rPr>
        <w:t>H</w:t>
      </w:r>
      <w:r w:rsidR="00812700" w:rsidRPr="00A228ED">
        <w:rPr>
          <w:u w:val="single"/>
        </w:rPr>
        <w:t xml:space="preserve">ealthcare </w:t>
      </w:r>
      <w:r w:rsidR="003D2A30" w:rsidRPr="00A228ED">
        <w:rPr>
          <w:u w:val="single"/>
        </w:rPr>
        <w:t>P</w:t>
      </w:r>
      <w:r w:rsidR="00812700" w:rsidRPr="00A228ED">
        <w:rPr>
          <w:u w:val="single"/>
        </w:rPr>
        <w:t>lans</w:t>
      </w:r>
    </w:p>
    <w:p w:rsidR="00200ABB" w:rsidRPr="00A228ED" w:rsidRDefault="002A4F2D" w:rsidP="00DA6CCE">
      <w:pPr>
        <w:ind w:left="360"/>
      </w:pPr>
      <w:r w:rsidRPr="00A228ED">
        <w:t xml:space="preserve">3.2 </w:t>
      </w:r>
      <w:r w:rsidR="00CD62DA" w:rsidRPr="00A228ED">
        <w:t xml:space="preserve">Governing bodies should ensure that the school’s policy covers the role of individual </w:t>
      </w:r>
      <w:r w:rsidR="00F50644" w:rsidRPr="00A228ED">
        <w:t xml:space="preserve">healthcare plans, and who is responsible for their development, in supporting pupils at school with medical conditions. </w:t>
      </w:r>
      <w:r w:rsidR="000C175B" w:rsidRPr="00A228ED">
        <w:t>The school nurse, when notified by parents/carers, will notify the school when a child has been identified as having a medical condition which requires support in school. They will also help the school in implementing the child’s individual healthcare plan. Where the medical needs are more complex school will also liaise with specialist nurses</w:t>
      </w:r>
      <w:r w:rsidR="0044664E" w:rsidRPr="00A228ED">
        <w:t xml:space="preserve"> </w:t>
      </w:r>
      <w:r w:rsidR="000C175B" w:rsidRPr="00A228ED">
        <w:t>such as Dietetic nurses or the Lifetime nurses.</w:t>
      </w:r>
    </w:p>
    <w:p w:rsidR="00051E10" w:rsidRPr="00A228ED" w:rsidRDefault="002A4F2D" w:rsidP="000D7E8D">
      <w:pPr>
        <w:ind w:left="360"/>
      </w:pPr>
      <w:r w:rsidRPr="00A228ED">
        <w:t>3.3</w:t>
      </w:r>
      <w:r w:rsidR="004F50FC" w:rsidRPr="00A228ED">
        <w:t xml:space="preserve"> </w:t>
      </w:r>
      <w:r w:rsidR="00EC2FAD" w:rsidRPr="00A228ED">
        <w:t xml:space="preserve">An </w:t>
      </w:r>
      <w:r w:rsidR="00C43209" w:rsidRPr="00A228ED">
        <w:t>individual healthcare plan</w:t>
      </w:r>
      <w:r w:rsidR="00EC2FAD" w:rsidRPr="00A228ED">
        <w:t xml:space="preserve"> may be essential if a pupil’s condition tends to fluctuate, however</w:t>
      </w:r>
      <w:r w:rsidR="00200ABB" w:rsidRPr="00A228ED">
        <w:t>,</w:t>
      </w:r>
      <w:r w:rsidR="00EC2FAD" w:rsidRPr="00A228ED">
        <w:t xml:space="preserve"> not all pupils will require one and</w:t>
      </w:r>
      <w:r w:rsidR="000C175B" w:rsidRPr="00A228ED">
        <w:t xml:space="preserve"> it</w:t>
      </w:r>
      <w:r w:rsidR="00EC2FAD" w:rsidRPr="00A228ED">
        <w:t xml:space="preserve"> will be determined as to </w:t>
      </w:r>
      <w:r w:rsidR="00EC2FAD" w:rsidRPr="00A228ED">
        <w:lastRenderedPageBreak/>
        <w:t>how appropriate and proportionate it is to the medical condition. If an agreement cannot be reached, the head teacher is best placed to take the final view.</w:t>
      </w:r>
      <w:r w:rsidR="003D2A30" w:rsidRPr="00A228ED">
        <w:t xml:space="preserve"> Please</w:t>
      </w:r>
      <w:r w:rsidR="00880942" w:rsidRPr="00A228ED">
        <w:t xml:space="preserve"> note that if a school receives </w:t>
      </w:r>
      <w:r w:rsidR="00051E10" w:rsidRPr="00A228ED">
        <w:t xml:space="preserve">healthcare </w:t>
      </w:r>
      <w:r w:rsidR="003D2A30" w:rsidRPr="00A228ED">
        <w:t xml:space="preserve">funding from the </w:t>
      </w:r>
      <w:r w:rsidR="00427691" w:rsidRPr="00A228ED">
        <w:t xml:space="preserve">local </w:t>
      </w:r>
      <w:r w:rsidR="003D2A30" w:rsidRPr="00A228ED">
        <w:t xml:space="preserve">authority, then it is a requirement that the pupil has an </w:t>
      </w:r>
      <w:r w:rsidR="00C43209" w:rsidRPr="00A228ED">
        <w:t>individual healthcare plan</w:t>
      </w:r>
      <w:r w:rsidR="00200ABB" w:rsidRPr="00A228ED">
        <w:t>.</w:t>
      </w:r>
    </w:p>
    <w:p w:rsidR="00CD62DA" w:rsidRPr="00A228ED" w:rsidRDefault="002A4F2D" w:rsidP="000D7E8D">
      <w:pPr>
        <w:ind w:left="360"/>
      </w:pPr>
      <w:r w:rsidRPr="00A228ED">
        <w:t>3.4</w:t>
      </w:r>
      <w:r w:rsidR="004F50FC" w:rsidRPr="00A228ED">
        <w:t xml:space="preserve"> </w:t>
      </w:r>
      <w:r w:rsidRPr="00A228ED">
        <w:t>I</w:t>
      </w:r>
      <w:r w:rsidR="00EC2FAD" w:rsidRPr="00A228ED">
        <w:t xml:space="preserve">f a pupil has medical needs and is on SEN Support their special educational needs should be mentioned in in their </w:t>
      </w:r>
      <w:r w:rsidR="000D7E8D" w:rsidRPr="00A228ED">
        <w:t>individual healthcare plan</w:t>
      </w:r>
      <w:r w:rsidR="00F557E0" w:rsidRPr="00A228ED">
        <w:t xml:space="preserve">. If </w:t>
      </w:r>
      <w:r w:rsidR="003D2A30" w:rsidRPr="00A228ED">
        <w:t xml:space="preserve">the pupil has a statement or an Education, Health and Care Plan (EHCP), the </w:t>
      </w:r>
      <w:r w:rsidR="00051E10" w:rsidRPr="00A228ED">
        <w:t>individual healthcare plan</w:t>
      </w:r>
      <w:r w:rsidR="003D2A30" w:rsidRPr="00A228ED">
        <w:t xml:space="preserve"> should be linked to or become part of the statement or EHCP.</w:t>
      </w:r>
      <w:r w:rsidR="00EC2FAD" w:rsidRPr="00A228ED">
        <w:t xml:space="preserve">   </w:t>
      </w:r>
    </w:p>
    <w:p w:rsidR="00200ABB" w:rsidRPr="00A228ED" w:rsidRDefault="002A4F2D" w:rsidP="000D7E8D">
      <w:pPr>
        <w:ind w:left="360"/>
      </w:pPr>
      <w:r w:rsidRPr="00A228ED">
        <w:t>3.5</w:t>
      </w:r>
      <w:r w:rsidR="004F50FC" w:rsidRPr="00A228ED">
        <w:t xml:space="preserve"> </w:t>
      </w:r>
      <w:r w:rsidR="003D2A30" w:rsidRPr="00A228ED">
        <w:t xml:space="preserve">The information recorded in an </w:t>
      </w:r>
      <w:r w:rsidR="000D7E8D" w:rsidRPr="00A228ED">
        <w:t>individual healthcare plan</w:t>
      </w:r>
      <w:r w:rsidR="00CB2D33" w:rsidRPr="00A228ED">
        <w:t xml:space="preserve"> </w:t>
      </w:r>
      <w:r w:rsidR="00167C2D" w:rsidRPr="00A228ED">
        <w:t>sh</w:t>
      </w:r>
      <w:r w:rsidR="003D2A30" w:rsidRPr="00A228ED">
        <w:t>ould include</w:t>
      </w:r>
      <w:r w:rsidR="00056C95" w:rsidRPr="00A228ED">
        <w:t xml:space="preserve"> details</w:t>
      </w:r>
      <w:r w:rsidR="000E4F1B" w:rsidRPr="00A228ED">
        <w:t xml:space="preserve"> </w:t>
      </w:r>
      <w:r w:rsidR="00056C95" w:rsidRPr="00A228ED">
        <w:t>of the</w:t>
      </w:r>
      <w:r w:rsidR="00167C2D" w:rsidRPr="00A228ED">
        <w:t xml:space="preserve"> medical condition, their symptoms and the pupil’s resulting needs. Details of medication and support needs should be detailed in the plan, as well as instructions as to what to do in an emergency.</w:t>
      </w:r>
      <w:r w:rsidR="00543AB3" w:rsidRPr="00A228ED">
        <w:t xml:space="preserve"> A model </w:t>
      </w:r>
      <w:r w:rsidR="00C43209" w:rsidRPr="00A228ED">
        <w:t>individual healthcare plan</w:t>
      </w:r>
      <w:r w:rsidR="00CB2D33" w:rsidRPr="00A228ED">
        <w:t xml:space="preserve"> has been provided for your use</w:t>
      </w:r>
      <w:r w:rsidR="00A41AA1" w:rsidRPr="00A228ED">
        <w:t xml:space="preserve"> (</w:t>
      </w:r>
      <w:r w:rsidR="00AA2EEF" w:rsidRPr="00A228ED">
        <w:t>Template A</w:t>
      </w:r>
      <w:r w:rsidR="00A41AA1" w:rsidRPr="00A228ED">
        <w:t>)</w:t>
      </w:r>
      <w:r w:rsidR="00543AB3" w:rsidRPr="00A228ED">
        <w:t xml:space="preserve">. </w:t>
      </w:r>
    </w:p>
    <w:p w:rsidR="00543AB3" w:rsidRPr="00A228ED" w:rsidRDefault="002A4F2D" w:rsidP="000E22F5">
      <w:pPr>
        <w:ind w:left="360"/>
      </w:pPr>
      <w:r w:rsidRPr="00A228ED">
        <w:t>3.6</w:t>
      </w:r>
      <w:r w:rsidR="004F50FC" w:rsidRPr="00A228ED">
        <w:t xml:space="preserve"> </w:t>
      </w:r>
      <w:r w:rsidR="003D6D7B" w:rsidRPr="00A228ED">
        <w:t>Plans should be drawn up</w:t>
      </w:r>
      <w:r w:rsidR="00200ABB" w:rsidRPr="00A228ED">
        <w:t xml:space="preserve"> in partnership between the school, parents, and a relevant healthcare professional. </w:t>
      </w:r>
      <w:r w:rsidR="00CB2D33" w:rsidRPr="00A228ED">
        <w:t xml:space="preserve">A model letter inviting parents to contribute to </w:t>
      </w:r>
      <w:r w:rsidR="000E22F5" w:rsidRPr="00A228ED">
        <w:t>individual healthcare plan</w:t>
      </w:r>
      <w:r w:rsidR="00CB2D33" w:rsidRPr="00A228ED">
        <w:t xml:space="preserve"> development has been provided (Template G). </w:t>
      </w:r>
      <w:r w:rsidR="00200ABB" w:rsidRPr="00A228ED">
        <w:t>Pupils should be involved as appropriate. Plans should be reviewed</w:t>
      </w:r>
      <w:r w:rsidR="00543AB3" w:rsidRPr="00A228ED">
        <w:t xml:space="preserve"> at least annually.</w:t>
      </w:r>
    </w:p>
    <w:p w:rsidR="00427691" w:rsidRPr="00A228ED" w:rsidRDefault="007A0ECD" w:rsidP="002A4F2D">
      <w:pPr>
        <w:ind w:firstLine="360"/>
        <w:rPr>
          <w:u w:val="single"/>
        </w:rPr>
      </w:pPr>
      <w:r w:rsidRPr="00A228ED">
        <w:rPr>
          <w:u w:val="single"/>
        </w:rPr>
        <w:t>T</w:t>
      </w:r>
      <w:r w:rsidR="00543AB3" w:rsidRPr="00A228ED">
        <w:rPr>
          <w:u w:val="single"/>
        </w:rPr>
        <w:t>raining</w:t>
      </w:r>
    </w:p>
    <w:p w:rsidR="003538B9" w:rsidRPr="00A228ED" w:rsidRDefault="002A4F2D" w:rsidP="000E22F5">
      <w:pPr>
        <w:ind w:left="360"/>
      </w:pPr>
      <w:r w:rsidRPr="00A228ED">
        <w:t xml:space="preserve">3.7 </w:t>
      </w:r>
      <w:r w:rsidR="003E4B93" w:rsidRPr="00A228ED">
        <w:t>Governing Bodies should ensure that the school’s policy sets out the training needs of any member of school staff who provide</w:t>
      </w:r>
      <w:r w:rsidR="000E22F5" w:rsidRPr="00A228ED">
        <w:t>s</w:t>
      </w:r>
      <w:r w:rsidR="003E4B93" w:rsidRPr="00A228ED">
        <w:t xml:space="preserve"> support to a pupil with medical needs</w:t>
      </w:r>
      <w:r w:rsidR="003538B9" w:rsidRPr="00A228ED">
        <w:t xml:space="preserve"> and how this will be reviewed.</w:t>
      </w:r>
      <w:r w:rsidR="00927793" w:rsidRPr="00A228ED">
        <w:t xml:space="preserve"> A template to record staff training regarding the administration of medicines has been provided (Template E)</w:t>
      </w:r>
      <w:r w:rsidR="000E22F5" w:rsidRPr="00A228ED">
        <w:t>.</w:t>
      </w:r>
    </w:p>
    <w:p w:rsidR="00784D07" w:rsidRPr="00A228ED" w:rsidRDefault="002A4F2D" w:rsidP="000E22F5">
      <w:pPr>
        <w:ind w:left="360"/>
      </w:pPr>
      <w:r w:rsidRPr="00A228ED">
        <w:t>3.8</w:t>
      </w:r>
      <w:r w:rsidR="004F50FC" w:rsidRPr="00A228ED">
        <w:t xml:space="preserve"> </w:t>
      </w:r>
      <w:r w:rsidR="003538B9" w:rsidRPr="00A228ED">
        <w:t xml:space="preserve">The school’s policy should also set out arrangements for whole-school awareness training so that all staff </w:t>
      </w:r>
      <w:proofErr w:type="gramStart"/>
      <w:r w:rsidR="003538B9" w:rsidRPr="00A228ED">
        <w:t>are</w:t>
      </w:r>
      <w:proofErr w:type="gramEnd"/>
      <w:r w:rsidR="003538B9" w:rsidRPr="00A228ED">
        <w:t xml:space="preserve"> aware of the school’s policy for supporting pupils with medical conditions and their role in implementing that policy</w:t>
      </w:r>
      <w:r w:rsidR="00173CF9" w:rsidRPr="00A228ED">
        <w:t>.</w:t>
      </w:r>
    </w:p>
    <w:p w:rsidR="00427691" w:rsidRPr="00A228ED" w:rsidRDefault="00784D07" w:rsidP="000E22F5">
      <w:pPr>
        <w:ind w:firstLine="360"/>
        <w:rPr>
          <w:u w:val="single"/>
        </w:rPr>
      </w:pPr>
      <w:r w:rsidRPr="00A228ED">
        <w:rPr>
          <w:u w:val="single"/>
        </w:rPr>
        <w:t>Managing Medicines on School Premises</w:t>
      </w:r>
    </w:p>
    <w:p w:rsidR="00DE3DC7" w:rsidRPr="00A228ED" w:rsidRDefault="002A4F2D" w:rsidP="000E22F5">
      <w:pPr>
        <w:ind w:left="360"/>
      </w:pPr>
      <w:r w:rsidRPr="00A228ED">
        <w:t xml:space="preserve">3.9 </w:t>
      </w:r>
      <w:r w:rsidR="00784D07" w:rsidRPr="00A228ED">
        <w:t>The governing body should ensure that the school’s policy is clear about the procedures</w:t>
      </w:r>
      <w:r w:rsidR="00DE3DC7" w:rsidRPr="00A228ED">
        <w:t xml:space="preserve"> </w:t>
      </w:r>
      <w:r w:rsidR="00784D07" w:rsidRPr="00A228ED">
        <w:t>to be followed for managing medicines</w:t>
      </w:r>
      <w:r w:rsidR="00DE3DC7" w:rsidRPr="00A228ED">
        <w:t>.</w:t>
      </w:r>
    </w:p>
    <w:p w:rsidR="00DE3DC7" w:rsidRPr="00A228ED" w:rsidRDefault="002A4F2D" w:rsidP="000E22F5">
      <w:pPr>
        <w:ind w:left="360"/>
      </w:pPr>
      <w:r w:rsidRPr="00A228ED">
        <w:t xml:space="preserve">3.10 </w:t>
      </w:r>
      <w:r w:rsidR="00DE3DC7" w:rsidRPr="00A228ED">
        <w:t xml:space="preserve">Medicines should only be administered at school when it would be detrimental to a child’s health or school attendance not to do so. </w:t>
      </w:r>
    </w:p>
    <w:p w:rsidR="002A4F2D" w:rsidRPr="00A228ED" w:rsidRDefault="002A4F2D" w:rsidP="000E22F5">
      <w:pPr>
        <w:ind w:left="360"/>
      </w:pPr>
      <w:r w:rsidRPr="00A228ED">
        <w:t xml:space="preserve">3.11 </w:t>
      </w:r>
      <w:r w:rsidR="00DE3DC7" w:rsidRPr="00A228ED">
        <w:t xml:space="preserve">No </w:t>
      </w:r>
      <w:r w:rsidR="00E37E82" w:rsidRPr="00A228ED">
        <w:t>child</w:t>
      </w:r>
      <w:r w:rsidR="00DE3DC7" w:rsidRPr="00A228ED">
        <w:t xml:space="preserve"> under 16 should be given prescription</w:t>
      </w:r>
      <w:r w:rsidR="00193C44" w:rsidRPr="00A228ED">
        <w:t xml:space="preserve"> </w:t>
      </w:r>
      <w:r w:rsidR="00DE3DC7" w:rsidRPr="00A228ED">
        <w:t>or non</w:t>
      </w:r>
      <w:r w:rsidR="00193C44" w:rsidRPr="00A228ED">
        <w:t xml:space="preserve">-prescription medicines without their parent’s written consent – except in exceptional circumstances where the medicine has been prescribed to the </w:t>
      </w:r>
      <w:r w:rsidR="00E37E82" w:rsidRPr="00A228ED">
        <w:t>child</w:t>
      </w:r>
      <w:r w:rsidR="00193C44" w:rsidRPr="00A228ED">
        <w:t xml:space="preserve"> without the knowledge of the parents.</w:t>
      </w:r>
      <w:r w:rsidR="00056C95" w:rsidRPr="00A228ED">
        <w:t xml:space="preserve"> </w:t>
      </w:r>
      <w:r w:rsidR="003B6EFA" w:rsidRPr="00A228ED">
        <w:t xml:space="preserve">In such cases, every effort should be made to encourage the child or young person to involve their parents while respecting their right to confidentiality. </w:t>
      </w:r>
      <w:r w:rsidR="00193C44" w:rsidRPr="00A228ED">
        <w:t>Schools should set out the circumstances in which non-prescription medicines may be administered</w:t>
      </w:r>
      <w:r w:rsidR="000E22F5" w:rsidRPr="00A228ED">
        <w:t>.</w:t>
      </w:r>
      <w:r w:rsidR="003B6EFA" w:rsidRPr="00A228ED">
        <w:t xml:space="preserve"> </w:t>
      </w:r>
    </w:p>
    <w:p w:rsidR="001C0809" w:rsidRPr="00A228ED" w:rsidRDefault="002A4F2D" w:rsidP="002A4F2D">
      <w:r w:rsidRPr="00A228ED">
        <w:lastRenderedPageBreak/>
        <w:t xml:space="preserve">3.12 </w:t>
      </w:r>
      <w:r w:rsidR="001C0809" w:rsidRPr="00A228ED">
        <w:t>A</w:t>
      </w:r>
      <w:r w:rsidR="00193C44" w:rsidRPr="00A228ED">
        <w:t xml:space="preserve"> </w:t>
      </w:r>
      <w:r w:rsidR="00056C95" w:rsidRPr="00A228ED">
        <w:t>child</w:t>
      </w:r>
      <w:r w:rsidR="00193C44" w:rsidRPr="00A228ED">
        <w:t xml:space="preserve"> under 16 should never be given medicine containing aspirin unless prescribed by a doctor. Medication, e.g. for pain relief, should never be administered without first checking maximum dosages and when the previous dose was taken. Parents should be informed</w:t>
      </w:r>
      <w:r w:rsidR="001C0809" w:rsidRPr="00A228ED">
        <w:t>.</w:t>
      </w:r>
    </w:p>
    <w:p w:rsidR="00193C44" w:rsidRPr="00A228ED" w:rsidRDefault="002A4F2D" w:rsidP="00AF66CF">
      <w:r w:rsidRPr="00A228ED">
        <w:t xml:space="preserve">3.13 </w:t>
      </w:r>
      <w:r w:rsidR="001C0809" w:rsidRPr="00A228ED">
        <w:t>W</w:t>
      </w:r>
      <w:r w:rsidR="00193C44" w:rsidRPr="00A228ED">
        <w:t>here clinically possible, medicines should be prescribed in dose frequencies which enable them to be taken outside school hours</w:t>
      </w:r>
      <w:r w:rsidR="001C0809" w:rsidRPr="00A228ED">
        <w:t>.</w:t>
      </w:r>
      <w:r w:rsidR="00193C44" w:rsidRPr="00A228ED">
        <w:t xml:space="preserve"> </w:t>
      </w:r>
    </w:p>
    <w:p w:rsidR="001C0809" w:rsidRPr="00A228ED" w:rsidRDefault="002A4F2D" w:rsidP="00AF66CF">
      <w:pPr>
        <w:rPr>
          <w:sz w:val="23"/>
          <w:szCs w:val="23"/>
        </w:rPr>
      </w:pPr>
      <w:r w:rsidRPr="00A228ED">
        <w:t xml:space="preserve">3.14 </w:t>
      </w:r>
      <w:r w:rsidR="001C0809" w:rsidRPr="00A228ED">
        <w:t>S</w:t>
      </w:r>
      <w:r w:rsidR="00193C44" w:rsidRPr="00A228ED">
        <w:t>chools should only accept prescribed medicines if these are in-date, labelled, provided in the original container as dispensed by a pharmacist and include instructions for administration, dosage and storage.</w:t>
      </w:r>
      <w:r w:rsidR="00193C44" w:rsidRPr="00A228ED">
        <w:rPr>
          <w:sz w:val="23"/>
          <w:szCs w:val="23"/>
        </w:rPr>
        <w:t xml:space="preserve"> </w:t>
      </w:r>
    </w:p>
    <w:p w:rsidR="001C0809" w:rsidRPr="00A228ED" w:rsidRDefault="002A4F2D" w:rsidP="00AF66CF">
      <w:r w:rsidRPr="00A228ED">
        <w:t xml:space="preserve">3.15 </w:t>
      </w:r>
      <w:r w:rsidR="001C0809" w:rsidRPr="00A228ED">
        <w:t>A</w:t>
      </w:r>
      <w:r w:rsidR="00193C44" w:rsidRPr="00A228ED">
        <w:t xml:space="preserve">ll medicines should be stored safely. </w:t>
      </w:r>
      <w:r w:rsidR="00E37E82" w:rsidRPr="00A228ED">
        <w:t>Pupils</w:t>
      </w:r>
      <w:r w:rsidR="00193C44" w:rsidRPr="00A228ED">
        <w:t xml:space="preserve"> should know where their medicines are at all times and be able to access them immediately. </w:t>
      </w:r>
    </w:p>
    <w:p w:rsidR="0086120A" w:rsidRPr="00A228ED" w:rsidRDefault="002A4F2D" w:rsidP="00AF66CF">
      <w:r w:rsidRPr="00A228ED">
        <w:t xml:space="preserve">3.16 </w:t>
      </w:r>
      <w:r w:rsidR="006E6C4D" w:rsidRPr="00A228ED">
        <w:t>A</w:t>
      </w:r>
      <w:r w:rsidR="001C0809" w:rsidRPr="00A228ED">
        <w:t xml:space="preserve"> </w:t>
      </w:r>
      <w:r w:rsidR="00E37E82" w:rsidRPr="00A228ED">
        <w:t>child</w:t>
      </w:r>
      <w:r w:rsidR="001C0809" w:rsidRPr="00A228ED">
        <w:t xml:space="preserve"> who has been prescribed a controlled drug may legally have it in their possession if they are competent to do so, but passing it to another child for use is an offence</w:t>
      </w:r>
      <w:r w:rsidR="001C0809" w:rsidRPr="00A228ED">
        <w:rPr>
          <w:i/>
        </w:rPr>
        <w:t>.</w:t>
      </w:r>
      <w:r w:rsidR="001C0809" w:rsidRPr="00A228ED">
        <w:t xml:space="preserve"> Monitoring arrangements may be necessary. Schools should otherwise keep controlled drugs that have been prescribed for a pupil securely stored in a non-portable container and only named staff should have access. Controlled drugs should </w:t>
      </w:r>
      <w:r w:rsidR="00126845" w:rsidRPr="00A228ED">
        <w:t>only be held on school premises following agreement from health professionals, a specific medication plan will need to be in place and advice should be sought from the DMO/DCO. Any medication that may be required in an emergency needs to be easily accessible.</w:t>
      </w:r>
      <w:r w:rsidR="001C0809" w:rsidRPr="00A228ED">
        <w:t xml:space="preserve"> A record should be kept of any doses used and the amount of the controlled drug held</w:t>
      </w:r>
      <w:r w:rsidR="006E6C4D" w:rsidRPr="00A228ED">
        <w:t>.</w:t>
      </w:r>
      <w:r w:rsidR="001C0809" w:rsidRPr="00A228ED">
        <w:t xml:space="preserve"> </w:t>
      </w:r>
    </w:p>
    <w:p w:rsidR="00E16BDF" w:rsidRPr="00A228ED" w:rsidRDefault="002A4F2D" w:rsidP="00AF66CF">
      <w:r w:rsidRPr="00A228ED">
        <w:t xml:space="preserve">3.17 </w:t>
      </w:r>
      <w:r w:rsidR="006E6C4D" w:rsidRPr="00A228ED">
        <w:t>S</w:t>
      </w:r>
      <w:r w:rsidR="001C0809" w:rsidRPr="00A228ED">
        <w:t>chool staff may administer a controlled drug to the child for whom it has been prescribed. Staff administering medicines should do so in accordance with the prescriber’s instructions. Schools should keep a record of all medicines administered to individual children, stating what, how and how much was administered, when and by whom. Any side effects of the medication to be administered at school should be noted in school</w:t>
      </w:r>
      <w:r w:rsidR="00126845" w:rsidRPr="00A228ED">
        <w:t xml:space="preserve"> and parents informed immediately if side effects are observed</w:t>
      </w:r>
      <w:r w:rsidR="00E16BDF" w:rsidRPr="00A228ED">
        <w:t>.</w:t>
      </w:r>
    </w:p>
    <w:p w:rsidR="00E16BDF" w:rsidRPr="00A228ED" w:rsidRDefault="002A4F2D" w:rsidP="00E16BDF">
      <w:r w:rsidRPr="00A228ED">
        <w:t xml:space="preserve">3.18 </w:t>
      </w:r>
      <w:r w:rsidR="00927793" w:rsidRPr="00A228ED">
        <w:t>Three templates</w:t>
      </w:r>
      <w:r w:rsidR="00AC5021" w:rsidRPr="00A228ED">
        <w:t xml:space="preserve"> from the </w:t>
      </w:r>
      <w:proofErr w:type="spellStart"/>
      <w:r w:rsidR="00AC5021" w:rsidRPr="00A228ED">
        <w:t>DfE</w:t>
      </w:r>
      <w:proofErr w:type="spellEnd"/>
      <w:r w:rsidR="00927793" w:rsidRPr="00A228ED">
        <w:t xml:space="preserve"> have been provided with regard to managing medicines on school premises:</w:t>
      </w:r>
      <w:r w:rsidRPr="00A228ED">
        <w:t xml:space="preserve"> </w:t>
      </w:r>
    </w:p>
    <w:p w:rsidR="00927793" w:rsidRPr="00A228ED" w:rsidRDefault="00927793" w:rsidP="00E16BDF">
      <w:pPr>
        <w:pStyle w:val="ListParagraph"/>
        <w:numPr>
          <w:ilvl w:val="0"/>
          <w:numId w:val="25"/>
        </w:numPr>
      </w:pPr>
      <w:r w:rsidRPr="00A228ED">
        <w:t>Template B: parental agreement for setting to administer medicine.</w:t>
      </w:r>
    </w:p>
    <w:p w:rsidR="00927793" w:rsidRPr="00A228ED" w:rsidRDefault="00927793" w:rsidP="002A4F2D">
      <w:pPr>
        <w:pStyle w:val="ListParagraph"/>
        <w:numPr>
          <w:ilvl w:val="0"/>
          <w:numId w:val="20"/>
        </w:numPr>
      </w:pPr>
      <w:r w:rsidRPr="00A228ED">
        <w:t>Template C: record of medicine administered to an individual child</w:t>
      </w:r>
    </w:p>
    <w:p w:rsidR="003E213D" w:rsidRPr="00A228ED" w:rsidRDefault="00927793" w:rsidP="002A4F2D">
      <w:pPr>
        <w:pStyle w:val="ListParagraph"/>
        <w:numPr>
          <w:ilvl w:val="0"/>
          <w:numId w:val="20"/>
        </w:numPr>
      </w:pPr>
      <w:r w:rsidRPr="00A228ED">
        <w:t>Template D: re</w:t>
      </w:r>
      <w:r w:rsidR="00C43209" w:rsidRPr="00A228ED">
        <w:t>c</w:t>
      </w:r>
      <w:r w:rsidRPr="00A228ED">
        <w:t>ord of medicine administered to all children</w:t>
      </w:r>
    </w:p>
    <w:p w:rsidR="001C0809" w:rsidRPr="00A228ED" w:rsidRDefault="003E213D" w:rsidP="00AF66CF">
      <w:pPr>
        <w:rPr>
          <w:u w:val="single"/>
        </w:rPr>
      </w:pPr>
      <w:r w:rsidRPr="00A228ED">
        <w:rPr>
          <w:u w:val="single"/>
        </w:rPr>
        <w:t>Emergency procedures</w:t>
      </w:r>
      <w:r w:rsidR="001C0809" w:rsidRPr="00A228ED">
        <w:rPr>
          <w:u w:val="single"/>
        </w:rPr>
        <w:t xml:space="preserve"> </w:t>
      </w:r>
    </w:p>
    <w:p w:rsidR="003E213D" w:rsidRPr="00A228ED" w:rsidRDefault="002A4F2D" w:rsidP="00AF66CF">
      <w:r w:rsidRPr="00A228ED">
        <w:t xml:space="preserve">3.19 </w:t>
      </w:r>
      <w:r w:rsidR="003E213D" w:rsidRPr="00A228ED">
        <w:t xml:space="preserve">Governing bodies should ensure that the school’s policy sets out what should happen in an emergency situation. </w:t>
      </w:r>
      <w:r w:rsidR="00C43209" w:rsidRPr="00A228ED">
        <w:t xml:space="preserve">A model template is provided (Template F). </w:t>
      </w:r>
      <w:r w:rsidR="003E213D" w:rsidRPr="00A228ED">
        <w:t xml:space="preserve">There should already be arrangements in place in school for dealing with emergencies for all school activities. Where a child has an </w:t>
      </w:r>
      <w:r w:rsidR="00C43209" w:rsidRPr="00A228ED">
        <w:t>indi</w:t>
      </w:r>
      <w:r w:rsidR="003E213D" w:rsidRPr="00A228ED">
        <w:t xml:space="preserve">vidual </w:t>
      </w:r>
      <w:r w:rsidR="00C43209" w:rsidRPr="00A228ED">
        <w:t>h</w:t>
      </w:r>
      <w:r w:rsidR="003E213D" w:rsidRPr="00A228ED">
        <w:t xml:space="preserve">ealthcare </w:t>
      </w:r>
      <w:r w:rsidR="00C43209" w:rsidRPr="00A228ED">
        <w:t>p</w:t>
      </w:r>
      <w:r w:rsidR="003E213D" w:rsidRPr="00A228ED">
        <w:t xml:space="preserve">lan it should clearly define what constitutes an emergency and explain what to do.  If a </w:t>
      </w:r>
      <w:r w:rsidR="003E213D" w:rsidRPr="00A228ED">
        <w:lastRenderedPageBreak/>
        <w:t>child needs to be taken to hospital, staff should stay with the child until the parent arrives.</w:t>
      </w:r>
    </w:p>
    <w:p w:rsidR="00427691" w:rsidRPr="00A228ED" w:rsidRDefault="003E213D" w:rsidP="00AF66CF">
      <w:r w:rsidRPr="00A228ED">
        <w:rPr>
          <w:u w:val="single"/>
        </w:rPr>
        <w:t>Day trips, residential visits and sporting activities</w:t>
      </w:r>
    </w:p>
    <w:p w:rsidR="003E213D" w:rsidRPr="00A228ED" w:rsidRDefault="002A4F2D" w:rsidP="00AF66CF">
      <w:r w:rsidRPr="00A228ED">
        <w:t xml:space="preserve">3.20 </w:t>
      </w:r>
      <w:r w:rsidR="00391169" w:rsidRPr="00A228ED">
        <w:t>Governing bodies should ensure that their arrangements are clear and unambiguous about the need to support actively pupils with medical conditions to participate in school trips and visits, or in sporting activities, and not prevent them from doing so.</w:t>
      </w:r>
    </w:p>
    <w:p w:rsidR="00391169" w:rsidRPr="00A228ED" w:rsidRDefault="002A4F2D" w:rsidP="00AF66CF">
      <w:r w:rsidRPr="00A228ED">
        <w:t xml:space="preserve">3.21 </w:t>
      </w:r>
      <w:r w:rsidR="00391169" w:rsidRPr="00A228ED">
        <w:t>Schools should consider what reasonable adjustments they might make to enable children with medical needs to participate fully and safely on visits.</w:t>
      </w:r>
    </w:p>
    <w:p w:rsidR="008567B6" w:rsidRPr="00A228ED" w:rsidRDefault="002A4F2D" w:rsidP="00AF66CF">
      <w:r w:rsidRPr="00A228ED">
        <w:t xml:space="preserve">3.22 </w:t>
      </w:r>
      <w:r w:rsidR="00391169" w:rsidRPr="00A228ED">
        <w:t>Teachers should be aware of how a child’s medical condition will impact on their</w:t>
      </w:r>
      <w:r w:rsidR="00197612" w:rsidRPr="00A228ED">
        <w:t xml:space="preserve"> participation, but there should be enough flexibility for all children to participate according to their own abilities and with any reasonable adjustments.</w:t>
      </w:r>
    </w:p>
    <w:p w:rsidR="00427691" w:rsidRPr="00A228ED" w:rsidRDefault="008567B6" w:rsidP="00AF66CF">
      <w:r w:rsidRPr="00A228ED">
        <w:rPr>
          <w:u w:val="single"/>
        </w:rPr>
        <w:t>Unacceptable practice</w:t>
      </w:r>
    </w:p>
    <w:p w:rsidR="00034D50" w:rsidRPr="00A228ED" w:rsidRDefault="002A4F2D" w:rsidP="00AF66CF">
      <w:r w:rsidRPr="00A228ED">
        <w:t xml:space="preserve">3.23 </w:t>
      </w:r>
      <w:r w:rsidR="008567B6" w:rsidRPr="00A228ED">
        <w:t xml:space="preserve">Governing bodies should ensure that the school’s policy is explicit about what practice is not acceptable. </w:t>
      </w:r>
      <w:r w:rsidR="00034D50" w:rsidRPr="00A228ED">
        <w:t>It is not generally acceptable practice to:</w:t>
      </w:r>
    </w:p>
    <w:p w:rsidR="00DB07FF" w:rsidRPr="00A228ED" w:rsidRDefault="00034D50" w:rsidP="00DB07FF">
      <w:pPr>
        <w:pStyle w:val="ListParagraph"/>
        <w:numPr>
          <w:ilvl w:val="0"/>
          <w:numId w:val="17"/>
        </w:numPr>
      </w:pPr>
      <w:r w:rsidRPr="00A228ED">
        <w:t xml:space="preserve">prevent children from easily accessing their inhalers and medication and administering their medication when and where necessary; </w:t>
      </w:r>
    </w:p>
    <w:p w:rsidR="00DB07FF" w:rsidRPr="00A228ED" w:rsidRDefault="00DB07FF" w:rsidP="00DB07FF">
      <w:pPr>
        <w:pStyle w:val="ListParagraph"/>
      </w:pPr>
    </w:p>
    <w:p w:rsidR="00034D50" w:rsidRPr="00A228ED" w:rsidRDefault="00034D50" w:rsidP="00DB07FF">
      <w:pPr>
        <w:pStyle w:val="ListParagraph"/>
        <w:numPr>
          <w:ilvl w:val="0"/>
          <w:numId w:val="17"/>
        </w:numPr>
      </w:pPr>
      <w:r w:rsidRPr="00A228ED">
        <w:t xml:space="preserve">assume that every child with the same condition requires the same treatment; </w:t>
      </w:r>
    </w:p>
    <w:p w:rsidR="00DB07FF" w:rsidRPr="00A228ED" w:rsidRDefault="00DB07FF" w:rsidP="00DB07FF">
      <w:pPr>
        <w:pStyle w:val="ListParagraph"/>
      </w:pPr>
    </w:p>
    <w:p w:rsidR="00034D50" w:rsidRPr="00A228ED" w:rsidRDefault="00034D50" w:rsidP="00DB07FF">
      <w:pPr>
        <w:pStyle w:val="ListParagraph"/>
        <w:numPr>
          <w:ilvl w:val="0"/>
          <w:numId w:val="17"/>
        </w:numPr>
      </w:pPr>
      <w:r w:rsidRPr="00A228ED">
        <w:t xml:space="preserve">ignore the views of the child or their parents; or ignore medical evidence or opinion (although this may be challenged); </w:t>
      </w:r>
    </w:p>
    <w:p w:rsidR="00DB07FF" w:rsidRPr="00A228ED" w:rsidRDefault="00DB07FF" w:rsidP="00DB07FF">
      <w:pPr>
        <w:pStyle w:val="ListParagraph"/>
      </w:pPr>
    </w:p>
    <w:p w:rsidR="00034D50" w:rsidRPr="00A228ED" w:rsidRDefault="00034D50" w:rsidP="00DB07FF">
      <w:pPr>
        <w:pStyle w:val="ListParagraph"/>
        <w:numPr>
          <w:ilvl w:val="0"/>
          <w:numId w:val="17"/>
        </w:numPr>
      </w:pPr>
      <w:r w:rsidRPr="00A228ED">
        <w:t xml:space="preserve">send children with medical conditions home frequently for reasons associated with their medical condition or prevent them from staying for normal school activities, including lunch, unless this is specified in their individual healthcare plans; </w:t>
      </w:r>
    </w:p>
    <w:p w:rsidR="00DB07FF" w:rsidRPr="00A228ED" w:rsidRDefault="00DB07FF" w:rsidP="00DB07FF">
      <w:pPr>
        <w:pStyle w:val="ListParagraph"/>
      </w:pPr>
    </w:p>
    <w:p w:rsidR="00034D50" w:rsidRPr="00A228ED" w:rsidRDefault="00034D50" w:rsidP="00DB07FF">
      <w:pPr>
        <w:pStyle w:val="ListParagraph"/>
        <w:numPr>
          <w:ilvl w:val="0"/>
          <w:numId w:val="17"/>
        </w:numPr>
      </w:pPr>
      <w:r w:rsidRPr="00A228ED">
        <w:t xml:space="preserve">if the child becomes ill, send them to the school office or medical room unaccompanied or with someone unsuitable; </w:t>
      </w:r>
    </w:p>
    <w:p w:rsidR="00DB07FF" w:rsidRPr="00A228ED" w:rsidRDefault="00DB07FF" w:rsidP="00DB07FF">
      <w:pPr>
        <w:pStyle w:val="ListParagraph"/>
      </w:pPr>
    </w:p>
    <w:p w:rsidR="00034D50" w:rsidRPr="00A228ED" w:rsidRDefault="00034D50" w:rsidP="00DB07FF">
      <w:pPr>
        <w:pStyle w:val="ListParagraph"/>
        <w:numPr>
          <w:ilvl w:val="0"/>
          <w:numId w:val="17"/>
        </w:numPr>
      </w:pPr>
      <w:r w:rsidRPr="00A228ED">
        <w:t xml:space="preserve">penalise children for their attendance record if their absences are related to their medical condition, e.g. hospital appointments; </w:t>
      </w:r>
    </w:p>
    <w:p w:rsidR="00DB07FF" w:rsidRPr="00A228ED" w:rsidRDefault="00DB07FF" w:rsidP="00DB07FF">
      <w:pPr>
        <w:pStyle w:val="ListParagraph"/>
      </w:pPr>
    </w:p>
    <w:p w:rsidR="00034D50" w:rsidRPr="00A228ED" w:rsidRDefault="00034D50" w:rsidP="00DB07FF">
      <w:pPr>
        <w:pStyle w:val="ListParagraph"/>
        <w:numPr>
          <w:ilvl w:val="0"/>
          <w:numId w:val="17"/>
        </w:numPr>
      </w:pPr>
      <w:r w:rsidRPr="00A228ED">
        <w:t xml:space="preserve">prevent pupils from drinking, eating or taking toilet or other breaks whenever they need to in order to manage their medical condition effectively; </w:t>
      </w:r>
    </w:p>
    <w:p w:rsidR="00DB07FF" w:rsidRPr="00A228ED" w:rsidRDefault="00DB07FF" w:rsidP="00DB07FF">
      <w:pPr>
        <w:pStyle w:val="ListParagraph"/>
      </w:pPr>
    </w:p>
    <w:p w:rsidR="00034D50" w:rsidRPr="00A228ED" w:rsidRDefault="00034D50" w:rsidP="00DB07FF">
      <w:pPr>
        <w:pStyle w:val="ListParagraph"/>
        <w:numPr>
          <w:ilvl w:val="0"/>
          <w:numId w:val="17"/>
        </w:numPr>
      </w:pPr>
      <w:proofErr w:type="gramStart"/>
      <w:r w:rsidRPr="00A228ED">
        <w:t>require</w:t>
      </w:r>
      <w:proofErr w:type="gramEnd"/>
      <w:r w:rsidRPr="00A228ED">
        <w:t xml:space="preserve"> parents, or otherwise make them feel obliged, to attend school to administer medication or provide medical support to their child, including with </w:t>
      </w:r>
      <w:r w:rsidRPr="00A228ED">
        <w:lastRenderedPageBreak/>
        <w:t xml:space="preserve">toileting issues. No parent should have to give up working because the school is failing to support their child’s medical needs; or </w:t>
      </w:r>
    </w:p>
    <w:p w:rsidR="007745DA" w:rsidRPr="00A228ED" w:rsidRDefault="00034D50" w:rsidP="00AF66CF">
      <w:pPr>
        <w:pStyle w:val="ListParagraph"/>
        <w:numPr>
          <w:ilvl w:val="0"/>
          <w:numId w:val="17"/>
        </w:numPr>
      </w:pPr>
      <w:proofErr w:type="gramStart"/>
      <w:r w:rsidRPr="00A228ED">
        <w:t>prevent</w:t>
      </w:r>
      <w:proofErr w:type="gramEnd"/>
      <w:r w:rsidRPr="00A228ED">
        <w:t xml:space="preserve"> children from participating, or create unnecessary barriers to children participating in any aspect of school life, including school trips, e.g. by requiring parents to accompany the child. </w:t>
      </w:r>
    </w:p>
    <w:p w:rsidR="00427691" w:rsidRPr="00A228ED" w:rsidRDefault="005F0711" w:rsidP="00AF66CF">
      <w:pPr>
        <w:rPr>
          <w:u w:val="single"/>
        </w:rPr>
      </w:pPr>
      <w:r w:rsidRPr="00A228ED">
        <w:rPr>
          <w:u w:val="single"/>
        </w:rPr>
        <w:t>Liability and indemnity</w:t>
      </w:r>
    </w:p>
    <w:p w:rsidR="0024158F" w:rsidRPr="00A228ED" w:rsidRDefault="002A4F2D" w:rsidP="00AF66CF">
      <w:r w:rsidRPr="00A228ED">
        <w:t xml:space="preserve">3.24 </w:t>
      </w:r>
      <w:r w:rsidR="005F0711" w:rsidRPr="00A228ED">
        <w:t>Governing bodies of maintained schools</w:t>
      </w:r>
      <w:r w:rsidR="0044664C" w:rsidRPr="00A228ED">
        <w:t xml:space="preserve"> </w:t>
      </w:r>
      <w:r w:rsidR="005F0711" w:rsidRPr="00A228ED">
        <w:t xml:space="preserve">should ensure that the appropriate level of insurance is in place and appropriately reflects the level of risk. Proprietors of academies should ensure that either the appropriate level of insurance is in place or that the academy is a member of the Department for Education’s Risk Protection Arrangement (RPA). </w:t>
      </w:r>
    </w:p>
    <w:p w:rsidR="00427691" w:rsidRPr="00A228ED" w:rsidRDefault="002A4F2D" w:rsidP="00AF66CF">
      <w:pPr>
        <w:rPr>
          <w:b/>
          <w:u w:val="single"/>
        </w:rPr>
      </w:pPr>
      <w:r w:rsidRPr="00A228ED">
        <w:rPr>
          <w:b/>
          <w:u w:val="single"/>
        </w:rPr>
        <w:t xml:space="preserve">4. </w:t>
      </w:r>
      <w:r w:rsidR="0024158F" w:rsidRPr="00A228ED">
        <w:rPr>
          <w:b/>
          <w:u w:val="single"/>
        </w:rPr>
        <w:t>F</w:t>
      </w:r>
      <w:r w:rsidR="00BE7B61" w:rsidRPr="00A228ED">
        <w:rPr>
          <w:b/>
          <w:u w:val="single"/>
        </w:rPr>
        <w:t>unding</w:t>
      </w:r>
    </w:p>
    <w:p w:rsidR="00AF3B85" w:rsidRPr="00A228ED" w:rsidRDefault="002A4F2D" w:rsidP="00AF3B85">
      <w:r w:rsidRPr="00A228ED">
        <w:t xml:space="preserve">4.1 </w:t>
      </w:r>
      <w:r w:rsidR="00BE7B61" w:rsidRPr="00A228ED">
        <w:t xml:space="preserve">It is the expectation that schools use their </w:t>
      </w:r>
      <w:r w:rsidR="0044664C" w:rsidRPr="00A228ED">
        <w:t>f</w:t>
      </w:r>
      <w:r w:rsidR="00BE7B61" w:rsidRPr="00A228ED">
        <w:t xml:space="preserve">unding of </w:t>
      </w:r>
      <w:r w:rsidR="00126845" w:rsidRPr="00A228ED">
        <w:t xml:space="preserve">up to </w:t>
      </w:r>
      <w:r w:rsidR="00BE7B61" w:rsidRPr="00A228ED">
        <w:t>£6000 to support pupils with medical conditions. If a school</w:t>
      </w:r>
      <w:r w:rsidR="0024158F" w:rsidRPr="00A228ED">
        <w:t xml:space="preserve"> is unable to meet the needs of pupils within this resource, then the</w:t>
      </w:r>
      <w:r w:rsidR="005301FC" w:rsidRPr="00A228ED">
        <w:t xml:space="preserve"> head teacher</w:t>
      </w:r>
      <w:r w:rsidR="0024158F" w:rsidRPr="00A228ED">
        <w:t xml:space="preserve"> may apply to the local authority </w:t>
      </w:r>
      <w:r w:rsidR="005301FC" w:rsidRPr="00A228ED">
        <w:t xml:space="preserve">for </w:t>
      </w:r>
      <w:r w:rsidR="00F10BDD" w:rsidRPr="00A228ED">
        <w:t xml:space="preserve">additional </w:t>
      </w:r>
      <w:r w:rsidR="005301FC" w:rsidRPr="00A228ED">
        <w:t>funding. In applying to the local authority, the head teacher will need to specify:</w:t>
      </w:r>
    </w:p>
    <w:p w:rsidR="00DB07FF" w:rsidRPr="00A228ED" w:rsidRDefault="005301FC" w:rsidP="00DB07FF">
      <w:pPr>
        <w:pStyle w:val="ListParagraph"/>
        <w:numPr>
          <w:ilvl w:val="0"/>
          <w:numId w:val="21"/>
        </w:numPr>
      </w:pPr>
      <w:r w:rsidRPr="00A228ED">
        <w:t xml:space="preserve">What reasonable adjustments are in place at </w:t>
      </w:r>
      <w:proofErr w:type="gramStart"/>
      <w:r w:rsidRPr="00A228ED">
        <w:t>present.</w:t>
      </w:r>
      <w:proofErr w:type="gramEnd"/>
    </w:p>
    <w:p w:rsidR="00AF3B85" w:rsidRPr="00A228ED" w:rsidRDefault="005301FC" w:rsidP="00DB07FF">
      <w:pPr>
        <w:pStyle w:val="ListParagraph"/>
        <w:numPr>
          <w:ilvl w:val="0"/>
          <w:numId w:val="18"/>
        </w:numPr>
      </w:pPr>
      <w:r w:rsidRPr="00A228ED">
        <w:t>How the £6000 is being used (in detail).</w:t>
      </w:r>
      <w:r w:rsidR="00126845" w:rsidRPr="00A228ED">
        <w:t xml:space="preserve"> </w:t>
      </w:r>
    </w:p>
    <w:p w:rsidR="00DB07FF" w:rsidRPr="00A228ED" w:rsidRDefault="00126845" w:rsidP="00DB07FF">
      <w:pPr>
        <w:pStyle w:val="ListParagraph"/>
        <w:numPr>
          <w:ilvl w:val="0"/>
          <w:numId w:val="18"/>
        </w:numPr>
      </w:pPr>
      <w:r w:rsidRPr="00A228ED">
        <w:t>What outcomes are being met</w:t>
      </w:r>
      <w:r w:rsidR="0044664C" w:rsidRPr="00A228ED">
        <w:t xml:space="preserve"> and which outcomes are not being met.</w:t>
      </w:r>
    </w:p>
    <w:p w:rsidR="00AF3B85" w:rsidRPr="00A228ED" w:rsidRDefault="005301FC" w:rsidP="00AF3B85">
      <w:pPr>
        <w:pStyle w:val="ListParagraph"/>
        <w:numPr>
          <w:ilvl w:val="0"/>
          <w:numId w:val="18"/>
        </w:numPr>
      </w:pPr>
      <w:r w:rsidRPr="00A228ED">
        <w:t>Why further funding is required and how it will be spent.</w:t>
      </w:r>
    </w:p>
    <w:p w:rsidR="00F557E0" w:rsidRPr="00A228ED" w:rsidRDefault="00674268" w:rsidP="00F557E0">
      <w:pPr>
        <w:rPr>
          <w:strike/>
        </w:rPr>
      </w:pPr>
      <w:r w:rsidRPr="00A228ED">
        <w:t xml:space="preserve">Healthcare funding </w:t>
      </w:r>
      <w:r w:rsidR="00F557E0" w:rsidRPr="00A228ED">
        <w:t>is considered for those pupils who have medical needs</w:t>
      </w:r>
      <w:r w:rsidR="00697410" w:rsidRPr="00A228ED">
        <w:t xml:space="preserve">. Pupils with medical needs may or may not have additional special educational needs and </w:t>
      </w:r>
      <w:proofErr w:type="gramStart"/>
      <w:r w:rsidR="00697410" w:rsidRPr="00A228ED">
        <w:t>disabilities,</w:t>
      </w:r>
      <w:proofErr w:type="gramEnd"/>
      <w:r w:rsidR="00697410" w:rsidRPr="00A228ED">
        <w:t xml:space="preserve"> however, the funding for this provision is separate and covered through the usual SEND processes. </w:t>
      </w:r>
    </w:p>
    <w:p w:rsidR="00D170B6" w:rsidRPr="00A228ED" w:rsidRDefault="00F10BDD" w:rsidP="00AF66CF">
      <w:r w:rsidRPr="00A228ED">
        <w:t xml:space="preserve">4.2 </w:t>
      </w:r>
      <w:r w:rsidR="00D170B6" w:rsidRPr="00A228ED">
        <w:t xml:space="preserve">The local authority will also need the school to provide evidence from a medical professional of the medical condition of the pupil and also an </w:t>
      </w:r>
      <w:r w:rsidR="00CC5322" w:rsidRPr="00A228ED">
        <w:t>i</w:t>
      </w:r>
      <w:r w:rsidR="00D170B6" w:rsidRPr="00A228ED">
        <w:t xml:space="preserve">ndividual </w:t>
      </w:r>
      <w:r w:rsidR="00CC5322" w:rsidRPr="00A228ED">
        <w:t>h</w:t>
      </w:r>
      <w:r w:rsidR="00D170B6" w:rsidRPr="00A228ED">
        <w:t xml:space="preserve">ealthcare </w:t>
      </w:r>
      <w:r w:rsidR="00CC5322" w:rsidRPr="00A228ED">
        <w:t>p</w:t>
      </w:r>
      <w:r w:rsidR="00D170B6" w:rsidRPr="00A228ED">
        <w:t>lan.</w:t>
      </w:r>
    </w:p>
    <w:p w:rsidR="00D170B6" w:rsidRPr="00A228ED" w:rsidRDefault="00F10BDD" w:rsidP="00AF66CF">
      <w:r w:rsidRPr="00A228ED">
        <w:t xml:space="preserve">4.3 </w:t>
      </w:r>
      <w:r w:rsidR="00D170B6" w:rsidRPr="00A228ED">
        <w:t xml:space="preserve">Once the local authority receives a request for </w:t>
      </w:r>
      <w:r w:rsidR="00674268" w:rsidRPr="00A228ED">
        <w:t>healthcare</w:t>
      </w:r>
      <w:r w:rsidR="00C8083D" w:rsidRPr="00A228ED">
        <w:t xml:space="preserve"> funding</w:t>
      </w:r>
      <w:r w:rsidR="00D170B6" w:rsidRPr="00A228ED">
        <w:t xml:space="preserve">, the case will be taken to </w:t>
      </w:r>
      <w:r w:rsidR="00AF3B85" w:rsidRPr="00A228ED">
        <w:t>the SEND P</w:t>
      </w:r>
      <w:r w:rsidR="00D170B6" w:rsidRPr="00A228ED">
        <w:t>anel</w:t>
      </w:r>
      <w:r w:rsidR="00AF3B85" w:rsidRPr="00A228ED">
        <w:t xml:space="preserve"> where representatives from health, social care and education attend</w:t>
      </w:r>
      <w:r w:rsidR="00D170B6" w:rsidRPr="00A228ED">
        <w:t xml:space="preserve"> and a decision will be made as to whether to issue funding or not.</w:t>
      </w:r>
      <w:r w:rsidR="006534C3" w:rsidRPr="00A228ED">
        <w:t xml:space="preserve"> </w:t>
      </w:r>
      <w:r w:rsidR="00EA66FD" w:rsidRPr="00A228ED">
        <w:t>The local authority will expect</w:t>
      </w:r>
      <w:r w:rsidR="00AF3B85" w:rsidRPr="00A228ED">
        <w:t xml:space="preserve"> the school to undertake</w:t>
      </w:r>
      <w:r w:rsidR="00EA66FD" w:rsidRPr="00A228ED">
        <w:t xml:space="preserve"> reviews annually and for the paperwork, including an updated IHP, to be sent to us for consideration to continue with the funding. Schools may decide that funding from the local authority is</w:t>
      </w:r>
      <w:r w:rsidR="006534C3" w:rsidRPr="00A228ED">
        <w:t xml:space="preserve"> </w:t>
      </w:r>
      <w:r w:rsidR="00EA66FD" w:rsidRPr="00A228ED">
        <w:t>no longer required and this should be made clear in the paperwork.</w:t>
      </w:r>
    </w:p>
    <w:p w:rsidR="00D170B6" w:rsidRPr="00A228ED" w:rsidRDefault="00D170B6" w:rsidP="00AF66CF">
      <w:r w:rsidRPr="00A228ED">
        <w:t>Applications</w:t>
      </w:r>
      <w:r w:rsidR="00C8083D" w:rsidRPr="00A228ED">
        <w:t xml:space="preserve"> for healthcare funding</w:t>
      </w:r>
      <w:r w:rsidRPr="00A228ED">
        <w:t xml:space="preserve"> should be sent to:</w:t>
      </w:r>
      <w:r w:rsidR="00F10BDD" w:rsidRPr="00A228ED">
        <w:t xml:space="preserve"> </w:t>
      </w:r>
    </w:p>
    <w:p w:rsidR="00405E3E" w:rsidRPr="00A228ED" w:rsidRDefault="00AF3B85" w:rsidP="00AF3B85">
      <w:pPr>
        <w:pStyle w:val="NoSpacing"/>
      </w:pPr>
      <w:r w:rsidRPr="00A228ED">
        <w:t>SEND Panel</w:t>
      </w:r>
    </w:p>
    <w:p w:rsidR="00AF3B85" w:rsidRPr="00A228ED" w:rsidRDefault="00AF3B85" w:rsidP="00AF3B85">
      <w:pPr>
        <w:pStyle w:val="NoSpacing"/>
      </w:pPr>
      <w:r w:rsidRPr="00A228ED">
        <w:lastRenderedPageBreak/>
        <w:t>SEN Team</w:t>
      </w:r>
    </w:p>
    <w:p w:rsidR="00405E3E" w:rsidRPr="00A228ED" w:rsidRDefault="00405E3E" w:rsidP="00AF3B85">
      <w:pPr>
        <w:pStyle w:val="NoSpacing"/>
      </w:pPr>
      <w:r w:rsidRPr="00A228ED">
        <w:t>Education Inclusion Service</w:t>
      </w:r>
    </w:p>
    <w:p w:rsidR="00405E3E" w:rsidRPr="00A228ED" w:rsidRDefault="00405E3E" w:rsidP="00AF3B85">
      <w:pPr>
        <w:pStyle w:val="NoSpacing"/>
      </w:pPr>
      <w:r w:rsidRPr="00A228ED">
        <w:t>Lewis House</w:t>
      </w:r>
    </w:p>
    <w:p w:rsidR="00405E3E" w:rsidRPr="00A228ED" w:rsidRDefault="00405E3E" w:rsidP="00AF3B85">
      <w:pPr>
        <w:pStyle w:val="NoSpacing"/>
      </w:pPr>
      <w:proofErr w:type="spellStart"/>
      <w:r w:rsidRPr="00A228ED">
        <w:t>Manvers</w:t>
      </w:r>
      <w:proofErr w:type="spellEnd"/>
      <w:r w:rsidRPr="00A228ED">
        <w:t xml:space="preserve"> Street</w:t>
      </w:r>
    </w:p>
    <w:p w:rsidR="00405E3E" w:rsidRPr="00A228ED" w:rsidRDefault="00405E3E" w:rsidP="00AF3B85">
      <w:pPr>
        <w:pStyle w:val="NoSpacing"/>
      </w:pPr>
      <w:r w:rsidRPr="00A228ED">
        <w:t>Bath</w:t>
      </w:r>
    </w:p>
    <w:p w:rsidR="00165559" w:rsidRPr="00A228ED" w:rsidRDefault="00405E3E" w:rsidP="00405E3E">
      <w:pPr>
        <w:pStyle w:val="NoSpacing"/>
      </w:pPr>
      <w:r w:rsidRPr="00A228ED">
        <w:t>BA1 1JQ</w:t>
      </w:r>
    </w:p>
    <w:p w:rsidR="00405E3E" w:rsidRPr="00A228ED" w:rsidRDefault="00405E3E" w:rsidP="00405E3E">
      <w:pPr>
        <w:pStyle w:val="NoSpacing"/>
      </w:pPr>
    </w:p>
    <w:p w:rsidR="00165559" w:rsidRPr="00A228ED" w:rsidRDefault="00FC50EB" w:rsidP="00AF66CF">
      <w:pPr>
        <w:rPr>
          <w:b/>
          <w:u w:val="single"/>
        </w:rPr>
      </w:pPr>
      <w:r w:rsidRPr="00A228ED">
        <w:rPr>
          <w:b/>
          <w:u w:val="single"/>
        </w:rPr>
        <w:t xml:space="preserve">5. </w:t>
      </w:r>
      <w:r w:rsidR="00165559" w:rsidRPr="00A228ED">
        <w:rPr>
          <w:b/>
          <w:u w:val="single"/>
        </w:rPr>
        <w:t xml:space="preserve">When a </w:t>
      </w:r>
      <w:r w:rsidR="00405E3E" w:rsidRPr="00A228ED">
        <w:rPr>
          <w:b/>
          <w:u w:val="single"/>
        </w:rPr>
        <w:t>child</w:t>
      </w:r>
      <w:r w:rsidR="00165559" w:rsidRPr="00A228ED">
        <w:rPr>
          <w:b/>
          <w:u w:val="single"/>
        </w:rPr>
        <w:t xml:space="preserve"> cannot attend school due to medical needs </w:t>
      </w:r>
    </w:p>
    <w:p w:rsidR="00405E3E" w:rsidRPr="00A228ED" w:rsidRDefault="00FC50EB" w:rsidP="00AF66CF">
      <w:r w:rsidRPr="00A228ED">
        <w:t xml:space="preserve">5.1 </w:t>
      </w:r>
      <w:r w:rsidR="00405E3E" w:rsidRPr="00A228ED">
        <w:t xml:space="preserve">The </w:t>
      </w:r>
      <w:proofErr w:type="spellStart"/>
      <w:r w:rsidR="00405E3E" w:rsidRPr="00A228ED">
        <w:t>DfE</w:t>
      </w:r>
      <w:proofErr w:type="spellEnd"/>
      <w:r w:rsidR="00405E3E" w:rsidRPr="00A228ED">
        <w:t xml:space="preserve"> has produced statutory guidance regarding children who cannot attend school because of </w:t>
      </w:r>
      <w:r w:rsidR="00CE4188" w:rsidRPr="00A228ED">
        <w:t>medical</w:t>
      </w:r>
      <w:r w:rsidR="00405E3E" w:rsidRPr="00A228ED">
        <w:t xml:space="preserve"> needs, ‘Ensuring a good education for children who cannot attend school because of health needs.’</w:t>
      </w:r>
      <w:r w:rsidR="000027B2" w:rsidRPr="00A228ED">
        <w:t xml:space="preserve"> (January 2013). This document can be accessed at:</w:t>
      </w:r>
    </w:p>
    <w:p w:rsidR="000F7552" w:rsidRPr="00A228ED" w:rsidRDefault="007420E6" w:rsidP="00AF66CF">
      <w:hyperlink r:id="rId10" w:history="1">
        <w:r w:rsidR="000027B2" w:rsidRPr="00A228ED">
          <w:rPr>
            <w:rStyle w:val="Hyperlink"/>
            <w:color w:val="auto"/>
          </w:rPr>
          <w:t>https://www.education.gov.uk/g00219676/special-health-needs-education</w:t>
        </w:r>
      </w:hyperlink>
    </w:p>
    <w:p w:rsidR="000027B2" w:rsidRPr="00A228ED" w:rsidRDefault="00FC50EB" w:rsidP="00AF66CF">
      <w:r w:rsidRPr="00A228ED">
        <w:t xml:space="preserve">5.2 </w:t>
      </w:r>
      <w:r w:rsidR="000027B2" w:rsidRPr="00A228ED">
        <w:t xml:space="preserve">The local authority has produced a policy statement, ‘Bath and North East Somerset Policy Statement: Ensuring a good education for children who cannot attend school because of health needs.’  </w:t>
      </w:r>
      <w:r w:rsidRPr="00A228ED">
        <w:t xml:space="preserve">For further information, please contact the Hospital Education and Reintegration Service (HERS) - </w:t>
      </w:r>
      <w:proofErr w:type="gramStart"/>
      <w:r w:rsidRPr="00A228ED">
        <w:t xml:space="preserve">01225 </w:t>
      </w:r>
      <w:r w:rsidR="000027B2" w:rsidRPr="00A228ED">
        <w:t xml:space="preserve"> </w:t>
      </w:r>
      <w:r w:rsidR="0024233B" w:rsidRPr="00A228ED">
        <w:t>396262</w:t>
      </w:r>
      <w:proofErr w:type="gramEnd"/>
    </w:p>
    <w:p w:rsidR="000027B2" w:rsidRPr="00A228ED" w:rsidRDefault="00FC50EB" w:rsidP="00AF66CF">
      <w:pPr>
        <w:rPr>
          <w:b/>
          <w:u w:val="single"/>
        </w:rPr>
      </w:pPr>
      <w:r w:rsidRPr="00A228ED">
        <w:rPr>
          <w:b/>
          <w:u w:val="single"/>
        </w:rPr>
        <w:t>6. Further Useful contacts</w:t>
      </w:r>
    </w:p>
    <w:p w:rsidR="00FC50EB" w:rsidRPr="00A228ED" w:rsidRDefault="00FC50EB" w:rsidP="00FC50EB">
      <w:pPr>
        <w:pStyle w:val="ListParagraph"/>
        <w:numPr>
          <w:ilvl w:val="0"/>
          <w:numId w:val="23"/>
        </w:numPr>
      </w:pPr>
      <w:r w:rsidRPr="00A228ED">
        <w:t>Children Missing Education Service – 01225 394245</w:t>
      </w:r>
    </w:p>
    <w:p w:rsidR="005C5C91" w:rsidRPr="00A228ED" w:rsidRDefault="005C5C91" w:rsidP="00FC50EB">
      <w:pPr>
        <w:pStyle w:val="ListParagraph"/>
        <w:numPr>
          <w:ilvl w:val="0"/>
          <w:numId w:val="23"/>
        </w:numPr>
      </w:pPr>
      <w:r w:rsidRPr="00A228ED">
        <w:t>Disabled Children’s Team - 01454615165</w:t>
      </w:r>
    </w:p>
    <w:p w:rsidR="005B1862" w:rsidRPr="00A228ED" w:rsidRDefault="005B1862" w:rsidP="00FC50EB">
      <w:pPr>
        <w:pStyle w:val="ListParagraph"/>
        <w:numPr>
          <w:ilvl w:val="0"/>
          <w:numId w:val="23"/>
        </w:numPr>
      </w:pPr>
      <w:r w:rsidRPr="00A228ED">
        <w:t xml:space="preserve">Education Inclusion Service </w:t>
      </w:r>
      <w:r w:rsidR="00FA301E" w:rsidRPr="00A228ED">
        <w:t>–</w:t>
      </w:r>
      <w:r w:rsidRPr="00A228ED">
        <w:t xml:space="preserve"> </w:t>
      </w:r>
      <w:r w:rsidR="00FA301E" w:rsidRPr="00A228ED">
        <w:t>01225 477980</w:t>
      </w:r>
    </w:p>
    <w:p w:rsidR="005B1862" w:rsidRPr="00A228ED" w:rsidRDefault="005B1862" w:rsidP="00FC50EB">
      <w:pPr>
        <w:pStyle w:val="ListParagraph"/>
        <w:numPr>
          <w:ilvl w:val="0"/>
          <w:numId w:val="23"/>
        </w:numPr>
      </w:pPr>
      <w:r w:rsidRPr="00A228ED">
        <w:t>Educational Psychology Service – 01225 394901</w:t>
      </w:r>
    </w:p>
    <w:p w:rsidR="005B1862" w:rsidRPr="00A228ED" w:rsidRDefault="005B1862" w:rsidP="00FC50EB">
      <w:pPr>
        <w:pStyle w:val="ListParagraph"/>
        <w:numPr>
          <w:ilvl w:val="0"/>
          <w:numId w:val="23"/>
        </w:numPr>
      </w:pPr>
      <w:r w:rsidRPr="00A228ED">
        <w:t>Family Information Service – 01225 395343</w:t>
      </w:r>
    </w:p>
    <w:p w:rsidR="00FC50EB" w:rsidRPr="00A228ED" w:rsidRDefault="00FC50EB" w:rsidP="00FC50EB">
      <w:pPr>
        <w:pStyle w:val="ListParagraph"/>
        <w:numPr>
          <w:ilvl w:val="0"/>
          <w:numId w:val="22"/>
        </w:numPr>
      </w:pPr>
      <w:r w:rsidRPr="00A228ED">
        <w:t>Statutory Special Educatio</w:t>
      </w:r>
      <w:r w:rsidR="00A228ED">
        <w:t>nal Needs Service – 01225 394306</w:t>
      </w:r>
    </w:p>
    <w:p w:rsidR="00FC50EB" w:rsidRPr="00A228ED" w:rsidRDefault="00FC50EB" w:rsidP="00FC50EB">
      <w:pPr>
        <w:pStyle w:val="ListParagraph"/>
        <w:numPr>
          <w:ilvl w:val="0"/>
          <w:numId w:val="22"/>
        </w:numPr>
      </w:pPr>
      <w:r w:rsidRPr="00A228ED">
        <w:t>School Nurses – as appropriate to school/academy</w:t>
      </w:r>
    </w:p>
    <w:p w:rsidR="005301FC" w:rsidRPr="00A228ED" w:rsidRDefault="00405E3E" w:rsidP="00AF66CF">
      <w:r w:rsidRPr="00A228ED">
        <w:t xml:space="preserve">  </w:t>
      </w:r>
    </w:p>
    <w:p w:rsidR="00C74392" w:rsidRPr="00A228ED" w:rsidRDefault="00C74392" w:rsidP="00AF66CF">
      <w:pPr>
        <w:rPr>
          <w:b/>
          <w:u w:val="single"/>
        </w:rPr>
      </w:pPr>
    </w:p>
    <w:sectPr w:rsidR="00C74392" w:rsidRPr="00A228E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F3" w:rsidRDefault="008B11F3" w:rsidP="003E213D">
      <w:pPr>
        <w:spacing w:after="0" w:line="240" w:lineRule="auto"/>
      </w:pPr>
      <w:r>
        <w:separator/>
      </w:r>
    </w:p>
  </w:endnote>
  <w:endnote w:type="continuationSeparator" w:id="0">
    <w:p w:rsidR="008B11F3" w:rsidRDefault="008B11F3" w:rsidP="003E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D9" w:rsidRDefault="005F1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429177"/>
      <w:docPartObj>
        <w:docPartGallery w:val="Page Numbers (Bottom of Page)"/>
        <w:docPartUnique/>
      </w:docPartObj>
    </w:sdtPr>
    <w:sdtEndPr>
      <w:rPr>
        <w:noProof/>
      </w:rPr>
    </w:sdtEndPr>
    <w:sdtContent>
      <w:p w:rsidR="003E213D" w:rsidRDefault="003E213D">
        <w:pPr>
          <w:pStyle w:val="Footer"/>
          <w:jc w:val="right"/>
        </w:pPr>
        <w:r>
          <w:fldChar w:fldCharType="begin"/>
        </w:r>
        <w:r>
          <w:instrText xml:space="preserve"> PAGE   \* MERGEFORMAT </w:instrText>
        </w:r>
        <w:r>
          <w:fldChar w:fldCharType="separate"/>
        </w:r>
        <w:r w:rsidR="007420E6">
          <w:rPr>
            <w:noProof/>
          </w:rPr>
          <w:t>1</w:t>
        </w:r>
        <w:r>
          <w:rPr>
            <w:noProof/>
          </w:rPr>
          <w:fldChar w:fldCharType="end"/>
        </w:r>
      </w:p>
    </w:sdtContent>
  </w:sdt>
  <w:p w:rsidR="003E213D" w:rsidRDefault="003E21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D9" w:rsidRDefault="005F1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F3" w:rsidRDefault="008B11F3" w:rsidP="003E213D">
      <w:pPr>
        <w:spacing w:after="0" w:line="240" w:lineRule="auto"/>
      </w:pPr>
      <w:r>
        <w:separator/>
      </w:r>
    </w:p>
  </w:footnote>
  <w:footnote w:type="continuationSeparator" w:id="0">
    <w:p w:rsidR="008B11F3" w:rsidRDefault="008B11F3" w:rsidP="003E2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D9" w:rsidRDefault="005F1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117036"/>
      <w:docPartObj>
        <w:docPartGallery w:val="Watermarks"/>
        <w:docPartUnique/>
      </w:docPartObj>
    </w:sdtPr>
    <w:sdtEndPr/>
    <w:sdtContent>
      <w:p w:rsidR="005F18D9" w:rsidRDefault="007420E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D9" w:rsidRDefault="005F1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500"/>
    <w:multiLevelType w:val="hybridMultilevel"/>
    <w:tmpl w:val="95C67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F781F"/>
    <w:multiLevelType w:val="hybridMultilevel"/>
    <w:tmpl w:val="1C343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4F5ACA"/>
    <w:multiLevelType w:val="hybridMultilevel"/>
    <w:tmpl w:val="CB7A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836760"/>
    <w:multiLevelType w:val="hybridMultilevel"/>
    <w:tmpl w:val="33A82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356BF7"/>
    <w:multiLevelType w:val="hybridMultilevel"/>
    <w:tmpl w:val="0E2C1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9F6FCA"/>
    <w:multiLevelType w:val="hybridMultilevel"/>
    <w:tmpl w:val="E122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81684"/>
    <w:multiLevelType w:val="hybridMultilevel"/>
    <w:tmpl w:val="0B062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694CDE"/>
    <w:multiLevelType w:val="hybridMultilevel"/>
    <w:tmpl w:val="CCA6A462"/>
    <w:lvl w:ilvl="0" w:tplc="B0C4C4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407B2D"/>
    <w:multiLevelType w:val="hybridMultilevel"/>
    <w:tmpl w:val="7C568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F0B3831"/>
    <w:multiLevelType w:val="hybridMultilevel"/>
    <w:tmpl w:val="53880C3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C35A6E"/>
    <w:multiLevelType w:val="hybridMultilevel"/>
    <w:tmpl w:val="DF28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C443F3"/>
    <w:multiLevelType w:val="hybridMultilevel"/>
    <w:tmpl w:val="6FD49BDC"/>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B3C0EDD"/>
    <w:multiLevelType w:val="hybridMultilevel"/>
    <w:tmpl w:val="DB72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8B01FD"/>
    <w:multiLevelType w:val="hybridMultilevel"/>
    <w:tmpl w:val="EA5E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F62260"/>
    <w:multiLevelType w:val="hybridMultilevel"/>
    <w:tmpl w:val="E184448A"/>
    <w:lvl w:ilvl="0" w:tplc="6AA6B8CC">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E66662E"/>
    <w:multiLevelType w:val="hybridMultilevel"/>
    <w:tmpl w:val="0B10C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280148"/>
    <w:multiLevelType w:val="hybridMultilevel"/>
    <w:tmpl w:val="B8869F4A"/>
    <w:lvl w:ilvl="0" w:tplc="7028457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53112B"/>
    <w:multiLevelType w:val="hybridMultilevel"/>
    <w:tmpl w:val="B2A87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26F3BAB"/>
    <w:multiLevelType w:val="hybridMultilevel"/>
    <w:tmpl w:val="7BFAC76C"/>
    <w:lvl w:ilvl="0" w:tplc="1232752E">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836743"/>
    <w:multiLevelType w:val="hybridMultilevel"/>
    <w:tmpl w:val="437A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4C63F0"/>
    <w:multiLevelType w:val="hybridMultilevel"/>
    <w:tmpl w:val="961C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3D6A68"/>
    <w:multiLevelType w:val="hybridMultilevel"/>
    <w:tmpl w:val="C36239C2"/>
    <w:lvl w:ilvl="0" w:tplc="1232752E">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3F00D5"/>
    <w:multiLevelType w:val="hybridMultilevel"/>
    <w:tmpl w:val="0F987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592390"/>
    <w:multiLevelType w:val="hybridMultilevel"/>
    <w:tmpl w:val="9E30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8861DB"/>
    <w:multiLevelType w:val="hybridMultilevel"/>
    <w:tmpl w:val="AF2841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5"/>
  </w:num>
  <w:num w:numId="2">
    <w:abstractNumId w:val="9"/>
  </w:num>
  <w:num w:numId="3">
    <w:abstractNumId w:val="14"/>
  </w:num>
  <w:num w:numId="4">
    <w:abstractNumId w:val="17"/>
  </w:num>
  <w:num w:numId="5">
    <w:abstractNumId w:val="19"/>
  </w:num>
  <w:num w:numId="6">
    <w:abstractNumId w:val="1"/>
  </w:num>
  <w:num w:numId="7">
    <w:abstractNumId w:val="2"/>
  </w:num>
  <w:num w:numId="8">
    <w:abstractNumId w:val="8"/>
  </w:num>
  <w:num w:numId="9">
    <w:abstractNumId w:val="6"/>
  </w:num>
  <w:num w:numId="10">
    <w:abstractNumId w:val="0"/>
  </w:num>
  <w:num w:numId="11">
    <w:abstractNumId w:val="16"/>
  </w:num>
  <w:num w:numId="12">
    <w:abstractNumId w:val="7"/>
  </w:num>
  <w:num w:numId="13">
    <w:abstractNumId w:val="18"/>
  </w:num>
  <w:num w:numId="14">
    <w:abstractNumId w:val="21"/>
  </w:num>
  <w:num w:numId="15">
    <w:abstractNumId w:val="4"/>
  </w:num>
  <w:num w:numId="16">
    <w:abstractNumId w:val="22"/>
  </w:num>
  <w:num w:numId="17">
    <w:abstractNumId w:val="23"/>
  </w:num>
  <w:num w:numId="18">
    <w:abstractNumId w:val="12"/>
  </w:num>
  <w:num w:numId="19">
    <w:abstractNumId w:val="11"/>
  </w:num>
  <w:num w:numId="20">
    <w:abstractNumId w:val="5"/>
  </w:num>
  <w:num w:numId="21">
    <w:abstractNumId w:val="24"/>
  </w:num>
  <w:num w:numId="22">
    <w:abstractNumId w:val="13"/>
  </w:num>
  <w:num w:numId="23">
    <w:abstractNumId w:val="10"/>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AB"/>
    <w:rsid w:val="000027B2"/>
    <w:rsid w:val="00034D50"/>
    <w:rsid w:val="00051E10"/>
    <w:rsid w:val="00056C95"/>
    <w:rsid w:val="00064FCC"/>
    <w:rsid w:val="00076F6C"/>
    <w:rsid w:val="0008615E"/>
    <w:rsid w:val="000C175B"/>
    <w:rsid w:val="000D4D0A"/>
    <w:rsid w:val="000D7E8D"/>
    <w:rsid w:val="000E22F5"/>
    <w:rsid w:val="000E3A43"/>
    <w:rsid w:val="000E4F1B"/>
    <w:rsid w:val="000F7552"/>
    <w:rsid w:val="00126845"/>
    <w:rsid w:val="00157C77"/>
    <w:rsid w:val="00165559"/>
    <w:rsid w:val="00167C2D"/>
    <w:rsid w:val="00173CF9"/>
    <w:rsid w:val="00193C44"/>
    <w:rsid w:val="00197612"/>
    <w:rsid w:val="001C0809"/>
    <w:rsid w:val="00200ABB"/>
    <w:rsid w:val="0024158F"/>
    <w:rsid w:val="0024233B"/>
    <w:rsid w:val="00254000"/>
    <w:rsid w:val="002A4F2D"/>
    <w:rsid w:val="00325EDD"/>
    <w:rsid w:val="00335E26"/>
    <w:rsid w:val="003538B9"/>
    <w:rsid w:val="00357B29"/>
    <w:rsid w:val="00391169"/>
    <w:rsid w:val="00391632"/>
    <w:rsid w:val="003B6EFA"/>
    <w:rsid w:val="003D1F07"/>
    <w:rsid w:val="003D2666"/>
    <w:rsid w:val="003D2A30"/>
    <w:rsid w:val="003D6D7B"/>
    <w:rsid w:val="003E213D"/>
    <w:rsid w:val="003E4B93"/>
    <w:rsid w:val="00405E3E"/>
    <w:rsid w:val="004152CB"/>
    <w:rsid w:val="00415362"/>
    <w:rsid w:val="00427691"/>
    <w:rsid w:val="00427F5D"/>
    <w:rsid w:val="0044664C"/>
    <w:rsid w:val="0044664E"/>
    <w:rsid w:val="00482366"/>
    <w:rsid w:val="004B63A1"/>
    <w:rsid w:val="004C5A13"/>
    <w:rsid w:val="004F50FC"/>
    <w:rsid w:val="00513EE4"/>
    <w:rsid w:val="005243DB"/>
    <w:rsid w:val="005301FC"/>
    <w:rsid w:val="00543AB3"/>
    <w:rsid w:val="0055524E"/>
    <w:rsid w:val="005745A4"/>
    <w:rsid w:val="005B1862"/>
    <w:rsid w:val="005C5C91"/>
    <w:rsid w:val="005F0711"/>
    <w:rsid w:val="005F18D9"/>
    <w:rsid w:val="00627324"/>
    <w:rsid w:val="006534C3"/>
    <w:rsid w:val="00674268"/>
    <w:rsid w:val="00697410"/>
    <w:rsid w:val="006B0E05"/>
    <w:rsid w:val="006E6C4D"/>
    <w:rsid w:val="006F35F1"/>
    <w:rsid w:val="007176CF"/>
    <w:rsid w:val="00722825"/>
    <w:rsid w:val="007420E6"/>
    <w:rsid w:val="00753987"/>
    <w:rsid w:val="007745DA"/>
    <w:rsid w:val="00784D07"/>
    <w:rsid w:val="0079368F"/>
    <w:rsid w:val="007A0ECD"/>
    <w:rsid w:val="007C2C6D"/>
    <w:rsid w:val="007D6276"/>
    <w:rsid w:val="007E6B17"/>
    <w:rsid w:val="00812700"/>
    <w:rsid w:val="0083088D"/>
    <w:rsid w:val="00841D29"/>
    <w:rsid w:val="008567B6"/>
    <w:rsid w:val="0086120A"/>
    <w:rsid w:val="00880942"/>
    <w:rsid w:val="008B11F3"/>
    <w:rsid w:val="008D1788"/>
    <w:rsid w:val="008D6F2D"/>
    <w:rsid w:val="00927793"/>
    <w:rsid w:val="00970581"/>
    <w:rsid w:val="009D0323"/>
    <w:rsid w:val="00A228ED"/>
    <w:rsid w:val="00A41AA1"/>
    <w:rsid w:val="00AA2EEF"/>
    <w:rsid w:val="00AC5021"/>
    <w:rsid w:val="00AF3B85"/>
    <w:rsid w:val="00AF66CF"/>
    <w:rsid w:val="00B07819"/>
    <w:rsid w:val="00BE7B61"/>
    <w:rsid w:val="00C22CEF"/>
    <w:rsid w:val="00C43209"/>
    <w:rsid w:val="00C55FAB"/>
    <w:rsid w:val="00C74392"/>
    <w:rsid w:val="00C8083D"/>
    <w:rsid w:val="00CB2D33"/>
    <w:rsid w:val="00CB7882"/>
    <w:rsid w:val="00CC5322"/>
    <w:rsid w:val="00CD62DA"/>
    <w:rsid w:val="00CE4188"/>
    <w:rsid w:val="00D170B6"/>
    <w:rsid w:val="00D40848"/>
    <w:rsid w:val="00D47DEF"/>
    <w:rsid w:val="00D711EC"/>
    <w:rsid w:val="00DA6CCE"/>
    <w:rsid w:val="00DB07FF"/>
    <w:rsid w:val="00DC45EF"/>
    <w:rsid w:val="00DE3DC7"/>
    <w:rsid w:val="00DE5F28"/>
    <w:rsid w:val="00E16BDF"/>
    <w:rsid w:val="00E37E82"/>
    <w:rsid w:val="00EA66FD"/>
    <w:rsid w:val="00EC2FAD"/>
    <w:rsid w:val="00EC3BE8"/>
    <w:rsid w:val="00F10BDD"/>
    <w:rsid w:val="00F32481"/>
    <w:rsid w:val="00F50644"/>
    <w:rsid w:val="00F557E0"/>
    <w:rsid w:val="00FA301E"/>
    <w:rsid w:val="00FB551D"/>
    <w:rsid w:val="00FC50EB"/>
    <w:rsid w:val="00FE1A04"/>
    <w:rsid w:val="00FF0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4E"/>
    <w:pPr>
      <w:ind w:left="720"/>
      <w:contextualSpacing/>
    </w:pPr>
  </w:style>
  <w:style w:type="paragraph" w:customStyle="1" w:styleId="Default">
    <w:name w:val="Default"/>
    <w:rsid w:val="00193C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3E2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13D"/>
  </w:style>
  <w:style w:type="paragraph" w:styleId="Footer">
    <w:name w:val="footer"/>
    <w:basedOn w:val="Normal"/>
    <w:link w:val="FooterChar"/>
    <w:uiPriority w:val="99"/>
    <w:unhideWhenUsed/>
    <w:rsid w:val="003E2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13D"/>
  </w:style>
  <w:style w:type="character" w:styleId="CommentReference">
    <w:name w:val="annotation reference"/>
    <w:basedOn w:val="DefaultParagraphFont"/>
    <w:uiPriority w:val="99"/>
    <w:semiHidden/>
    <w:unhideWhenUsed/>
    <w:rsid w:val="00056C95"/>
    <w:rPr>
      <w:sz w:val="16"/>
      <w:szCs w:val="16"/>
    </w:rPr>
  </w:style>
  <w:style w:type="paragraph" w:styleId="CommentText">
    <w:name w:val="annotation text"/>
    <w:basedOn w:val="Normal"/>
    <w:link w:val="CommentTextChar"/>
    <w:uiPriority w:val="99"/>
    <w:semiHidden/>
    <w:unhideWhenUsed/>
    <w:rsid w:val="00056C95"/>
    <w:pPr>
      <w:spacing w:line="240" w:lineRule="auto"/>
    </w:pPr>
    <w:rPr>
      <w:sz w:val="20"/>
      <w:szCs w:val="20"/>
    </w:rPr>
  </w:style>
  <w:style w:type="character" w:customStyle="1" w:styleId="CommentTextChar">
    <w:name w:val="Comment Text Char"/>
    <w:basedOn w:val="DefaultParagraphFont"/>
    <w:link w:val="CommentText"/>
    <w:uiPriority w:val="99"/>
    <w:semiHidden/>
    <w:rsid w:val="00056C95"/>
    <w:rPr>
      <w:sz w:val="20"/>
      <w:szCs w:val="20"/>
    </w:rPr>
  </w:style>
  <w:style w:type="paragraph" w:styleId="CommentSubject">
    <w:name w:val="annotation subject"/>
    <w:basedOn w:val="CommentText"/>
    <w:next w:val="CommentText"/>
    <w:link w:val="CommentSubjectChar"/>
    <w:uiPriority w:val="99"/>
    <w:semiHidden/>
    <w:unhideWhenUsed/>
    <w:rsid w:val="00056C95"/>
    <w:rPr>
      <w:b/>
      <w:bCs/>
    </w:rPr>
  </w:style>
  <w:style w:type="character" w:customStyle="1" w:styleId="CommentSubjectChar">
    <w:name w:val="Comment Subject Char"/>
    <w:basedOn w:val="CommentTextChar"/>
    <w:link w:val="CommentSubject"/>
    <w:uiPriority w:val="99"/>
    <w:semiHidden/>
    <w:rsid w:val="00056C95"/>
    <w:rPr>
      <w:b/>
      <w:bCs/>
      <w:sz w:val="20"/>
      <w:szCs w:val="20"/>
    </w:rPr>
  </w:style>
  <w:style w:type="paragraph" w:styleId="BalloonText">
    <w:name w:val="Balloon Text"/>
    <w:basedOn w:val="Normal"/>
    <w:link w:val="BalloonTextChar"/>
    <w:uiPriority w:val="99"/>
    <w:semiHidden/>
    <w:unhideWhenUsed/>
    <w:rsid w:val="0005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95"/>
    <w:rPr>
      <w:rFonts w:ascii="Tahoma" w:hAnsi="Tahoma" w:cs="Tahoma"/>
      <w:sz w:val="16"/>
      <w:szCs w:val="16"/>
    </w:rPr>
  </w:style>
  <w:style w:type="paragraph" w:styleId="NoSpacing">
    <w:name w:val="No Spacing"/>
    <w:uiPriority w:val="1"/>
    <w:qFormat/>
    <w:rsid w:val="00AF3B85"/>
    <w:pPr>
      <w:spacing w:after="0" w:line="240" w:lineRule="auto"/>
    </w:pPr>
  </w:style>
  <w:style w:type="character" w:styleId="Hyperlink">
    <w:name w:val="Hyperlink"/>
    <w:basedOn w:val="DefaultParagraphFont"/>
    <w:uiPriority w:val="99"/>
    <w:unhideWhenUsed/>
    <w:rsid w:val="00254000"/>
    <w:rPr>
      <w:color w:val="0000FF" w:themeColor="hyperlink"/>
      <w:u w:val="single"/>
    </w:rPr>
  </w:style>
  <w:style w:type="character" w:styleId="FollowedHyperlink">
    <w:name w:val="FollowedHyperlink"/>
    <w:basedOn w:val="DefaultParagraphFont"/>
    <w:uiPriority w:val="99"/>
    <w:semiHidden/>
    <w:unhideWhenUsed/>
    <w:rsid w:val="002540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4E"/>
    <w:pPr>
      <w:ind w:left="720"/>
      <w:contextualSpacing/>
    </w:pPr>
  </w:style>
  <w:style w:type="paragraph" w:customStyle="1" w:styleId="Default">
    <w:name w:val="Default"/>
    <w:rsid w:val="00193C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3E2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13D"/>
  </w:style>
  <w:style w:type="paragraph" w:styleId="Footer">
    <w:name w:val="footer"/>
    <w:basedOn w:val="Normal"/>
    <w:link w:val="FooterChar"/>
    <w:uiPriority w:val="99"/>
    <w:unhideWhenUsed/>
    <w:rsid w:val="003E2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13D"/>
  </w:style>
  <w:style w:type="character" w:styleId="CommentReference">
    <w:name w:val="annotation reference"/>
    <w:basedOn w:val="DefaultParagraphFont"/>
    <w:uiPriority w:val="99"/>
    <w:semiHidden/>
    <w:unhideWhenUsed/>
    <w:rsid w:val="00056C95"/>
    <w:rPr>
      <w:sz w:val="16"/>
      <w:szCs w:val="16"/>
    </w:rPr>
  </w:style>
  <w:style w:type="paragraph" w:styleId="CommentText">
    <w:name w:val="annotation text"/>
    <w:basedOn w:val="Normal"/>
    <w:link w:val="CommentTextChar"/>
    <w:uiPriority w:val="99"/>
    <w:semiHidden/>
    <w:unhideWhenUsed/>
    <w:rsid w:val="00056C95"/>
    <w:pPr>
      <w:spacing w:line="240" w:lineRule="auto"/>
    </w:pPr>
    <w:rPr>
      <w:sz w:val="20"/>
      <w:szCs w:val="20"/>
    </w:rPr>
  </w:style>
  <w:style w:type="character" w:customStyle="1" w:styleId="CommentTextChar">
    <w:name w:val="Comment Text Char"/>
    <w:basedOn w:val="DefaultParagraphFont"/>
    <w:link w:val="CommentText"/>
    <w:uiPriority w:val="99"/>
    <w:semiHidden/>
    <w:rsid w:val="00056C95"/>
    <w:rPr>
      <w:sz w:val="20"/>
      <w:szCs w:val="20"/>
    </w:rPr>
  </w:style>
  <w:style w:type="paragraph" w:styleId="CommentSubject">
    <w:name w:val="annotation subject"/>
    <w:basedOn w:val="CommentText"/>
    <w:next w:val="CommentText"/>
    <w:link w:val="CommentSubjectChar"/>
    <w:uiPriority w:val="99"/>
    <w:semiHidden/>
    <w:unhideWhenUsed/>
    <w:rsid w:val="00056C95"/>
    <w:rPr>
      <w:b/>
      <w:bCs/>
    </w:rPr>
  </w:style>
  <w:style w:type="character" w:customStyle="1" w:styleId="CommentSubjectChar">
    <w:name w:val="Comment Subject Char"/>
    <w:basedOn w:val="CommentTextChar"/>
    <w:link w:val="CommentSubject"/>
    <w:uiPriority w:val="99"/>
    <w:semiHidden/>
    <w:rsid w:val="00056C95"/>
    <w:rPr>
      <w:b/>
      <w:bCs/>
      <w:sz w:val="20"/>
      <w:szCs w:val="20"/>
    </w:rPr>
  </w:style>
  <w:style w:type="paragraph" w:styleId="BalloonText">
    <w:name w:val="Balloon Text"/>
    <w:basedOn w:val="Normal"/>
    <w:link w:val="BalloonTextChar"/>
    <w:uiPriority w:val="99"/>
    <w:semiHidden/>
    <w:unhideWhenUsed/>
    <w:rsid w:val="0005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95"/>
    <w:rPr>
      <w:rFonts w:ascii="Tahoma" w:hAnsi="Tahoma" w:cs="Tahoma"/>
      <w:sz w:val="16"/>
      <w:szCs w:val="16"/>
    </w:rPr>
  </w:style>
  <w:style w:type="paragraph" w:styleId="NoSpacing">
    <w:name w:val="No Spacing"/>
    <w:uiPriority w:val="1"/>
    <w:qFormat/>
    <w:rsid w:val="00AF3B85"/>
    <w:pPr>
      <w:spacing w:after="0" w:line="240" w:lineRule="auto"/>
    </w:pPr>
  </w:style>
  <w:style w:type="character" w:styleId="Hyperlink">
    <w:name w:val="Hyperlink"/>
    <w:basedOn w:val="DefaultParagraphFont"/>
    <w:uiPriority w:val="99"/>
    <w:unhideWhenUsed/>
    <w:rsid w:val="00254000"/>
    <w:rPr>
      <w:color w:val="0000FF" w:themeColor="hyperlink"/>
      <w:u w:val="single"/>
    </w:rPr>
  </w:style>
  <w:style w:type="character" w:styleId="FollowedHyperlink">
    <w:name w:val="FollowedHyperlink"/>
    <w:basedOn w:val="DefaultParagraphFont"/>
    <w:uiPriority w:val="99"/>
    <w:semiHidden/>
    <w:unhideWhenUsed/>
    <w:rsid w:val="002540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ducation.gov.uk/g00219676/special-health-needs-educ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EFDF3B48</Template>
  <TotalTime>5</TotalTime>
  <Pages>8</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jonesc1</dc:creator>
  <cp:lastModifiedBy>Marie Lane</cp:lastModifiedBy>
  <cp:revision>4</cp:revision>
  <dcterms:created xsi:type="dcterms:W3CDTF">2017-08-30T07:56:00Z</dcterms:created>
  <dcterms:modified xsi:type="dcterms:W3CDTF">2017-09-05T08:25:00Z</dcterms:modified>
</cp:coreProperties>
</file>