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323" w:rsidRPr="00FA0A32" w:rsidRDefault="00A34D41">
      <w:pPr>
        <w:rPr>
          <w:b/>
        </w:rPr>
      </w:pPr>
      <w:bookmarkStart w:id="0" w:name="_GoBack"/>
      <w:bookmarkEnd w:id="0"/>
      <w:r w:rsidRPr="00FA0A32">
        <w:rPr>
          <w:b/>
        </w:rPr>
        <w:t>Funding formula consultation 25</w:t>
      </w:r>
      <w:r w:rsidRPr="00FA0A32">
        <w:rPr>
          <w:b/>
          <w:vertAlign w:val="superscript"/>
        </w:rPr>
        <w:t>th</w:t>
      </w:r>
      <w:r w:rsidRPr="00FA0A32">
        <w:rPr>
          <w:b/>
        </w:rPr>
        <w:t xml:space="preserve"> January 2017 to 10</w:t>
      </w:r>
      <w:r w:rsidRPr="00FA0A32">
        <w:rPr>
          <w:b/>
          <w:vertAlign w:val="superscript"/>
        </w:rPr>
        <w:t>th</w:t>
      </w:r>
      <w:r w:rsidRPr="00FA0A32">
        <w:rPr>
          <w:b/>
        </w:rPr>
        <w:t xml:space="preserve"> February 2017</w:t>
      </w:r>
    </w:p>
    <w:p w:rsidR="00A34D41" w:rsidRDefault="00A34D41"/>
    <w:p w:rsidR="00B570FD" w:rsidRPr="00B570FD" w:rsidRDefault="00B570FD">
      <w:pPr>
        <w:rPr>
          <w:b/>
        </w:rPr>
      </w:pPr>
      <w:r w:rsidRPr="00B570FD">
        <w:rPr>
          <w:b/>
        </w:rPr>
        <w:t>Purpose</w:t>
      </w:r>
    </w:p>
    <w:p w:rsidR="00B570FD" w:rsidRDefault="00B570FD"/>
    <w:p w:rsidR="00B570FD" w:rsidRDefault="00B570FD">
      <w:r>
        <w:t xml:space="preserve">This consultation is for all providers delivering </w:t>
      </w:r>
      <w:r w:rsidRPr="00B570FD">
        <w:t>Early Years</w:t>
      </w:r>
      <w:r>
        <w:t xml:space="preserve"> Entitlement (EYE) funded places for children in their pre-school years. </w:t>
      </w:r>
    </w:p>
    <w:p w:rsidR="00B570FD" w:rsidRDefault="00B570FD"/>
    <w:p w:rsidR="00A47B3E" w:rsidRDefault="00B570FD">
      <w:r>
        <w:t>It is to inform providers of the</w:t>
      </w:r>
      <w:r w:rsidR="00F475B6">
        <w:t xml:space="preserve"> affordable</w:t>
      </w:r>
      <w:r>
        <w:t xml:space="preserve"> funding formula that can be supported </w:t>
      </w:r>
      <w:r w:rsidR="00A47B3E">
        <w:t xml:space="preserve">from the funding allocated </w:t>
      </w:r>
      <w:r w:rsidR="00F475B6">
        <w:t xml:space="preserve">to Bath and North East Somerset Council by the </w:t>
      </w:r>
      <w:r w:rsidR="00F475B6" w:rsidRPr="00F475B6">
        <w:t>Department for Education (DfE</w:t>
      </w:r>
      <w:r w:rsidR="00F475B6">
        <w:t>)</w:t>
      </w:r>
      <w:r w:rsidR="00F475B6" w:rsidRPr="00F475B6">
        <w:t xml:space="preserve"> </w:t>
      </w:r>
      <w:r w:rsidR="00A47B3E">
        <w:t>and based on the criteria outlined by the DfE for mandatory and discretionary supplements. The discretionary supplements have been discussed with the Early Years Reference Group who have helped to inform this process.</w:t>
      </w:r>
    </w:p>
    <w:p w:rsidR="00A47B3E" w:rsidRDefault="00A47B3E"/>
    <w:p w:rsidR="00B570FD" w:rsidRDefault="00A47B3E">
      <w:r>
        <w:t>By providing this information now you can look at your financial planning for 2017 and beyond.</w:t>
      </w:r>
      <w:r w:rsidR="001B095F">
        <w:t xml:space="preserve"> The new formula will start in April this year. </w:t>
      </w:r>
    </w:p>
    <w:p w:rsidR="00A47B3E" w:rsidRDefault="00A47B3E"/>
    <w:p w:rsidR="00A47B3E" w:rsidRDefault="00A47B3E">
      <w:r>
        <w:t xml:space="preserve">You are invited to comment on the proposals although at the outset it needs to be noted that there is only a limited room for manoeuvre in implementing further changes based on the funding allocated and the terms within which it can be distributed. </w:t>
      </w:r>
    </w:p>
    <w:p w:rsidR="00A47B3E" w:rsidRDefault="00A47B3E"/>
    <w:p w:rsidR="00B570FD" w:rsidRPr="00B570FD" w:rsidRDefault="00B570FD">
      <w:pPr>
        <w:rPr>
          <w:b/>
        </w:rPr>
      </w:pPr>
      <w:r w:rsidRPr="00B570FD">
        <w:rPr>
          <w:b/>
        </w:rPr>
        <w:t>Bac</w:t>
      </w:r>
      <w:r>
        <w:rPr>
          <w:b/>
        </w:rPr>
        <w:t>k</w:t>
      </w:r>
      <w:r w:rsidRPr="00B570FD">
        <w:rPr>
          <w:b/>
        </w:rPr>
        <w:t>ground</w:t>
      </w:r>
    </w:p>
    <w:p w:rsidR="00B570FD" w:rsidRDefault="00B570FD"/>
    <w:p w:rsidR="00FB5E35" w:rsidRDefault="00B570FD">
      <w:r>
        <w:t xml:space="preserve">The DfE undertook extensive consultations during 2016 with regard to the extension of the </w:t>
      </w:r>
      <w:r w:rsidR="00A47B3E">
        <w:t>EYE to provide a further 15 hours of funding for working families start</w:t>
      </w:r>
      <w:r w:rsidR="000155A1">
        <w:t>ing</w:t>
      </w:r>
      <w:r w:rsidR="00A47B3E">
        <w:t xml:space="preserve"> in September 2017. This included a commitment to the sector to re</w:t>
      </w:r>
      <w:r w:rsidR="00FB5E35">
        <w:t xml:space="preserve">view funding allocated to the </w:t>
      </w:r>
      <w:r w:rsidR="00087A12">
        <w:t>EYE</w:t>
      </w:r>
      <w:r w:rsidR="00FB5E35">
        <w:t xml:space="preserve">, the first major review of funding since the introduction of single funding formulas in 2009. </w:t>
      </w:r>
    </w:p>
    <w:p w:rsidR="00FB5E35" w:rsidRDefault="00FB5E35"/>
    <w:p w:rsidR="004A741E" w:rsidRDefault="004A741E">
      <w:r>
        <w:t xml:space="preserve">At the beginning of December 2016 the DfE published the outcome of their funding consultation on the EYE. In addition they published indicative budgets for each Council and how they had been calculated. These budgets were then confirmed with the announcement of the 2017/18 Dedicated Schools Grant </w:t>
      </w:r>
      <w:r w:rsidR="00087A12">
        <w:t xml:space="preserve">(DSG) </w:t>
      </w:r>
      <w:r>
        <w:t>on 20</w:t>
      </w:r>
      <w:r w:rsidRPr="004A741E">
        <w:rPr>
          <w:vertAlign w:val="superscript"/>
        </w:rPr>
        <w:t>th</w:t>
      </w:r>
      <w:r>
        <w:t xml:space="preserve"> December 2016. This is the route through which every Council in England receive their EYE funding.   </w:t>
      </w:r>
    </w:p>
    <w:p w:rsidR="001B095F" w:rsidRDefault="001B095F"/>
    <w:p w:rsidR="00087A12" w:rsidRDefault="001B095F">
      <w:r>
        <w:t xml:space="preserve">Following this </w:t>
      </w:r>
      <w:r w:rsidR="00087A12">
        <w:t>budget confirmation a meeting has been held with the Early Years Reference Group (EYRG)</w:t>
      </w:r>
      <w:r w:rsidR="00E13A54">
        <w:t>,</w:t>
      </w:r>
      <w:r w:rsidR="00087A12">
        <w:t xml:space="preserve"> your sector representative</w:t>
      </w:r>
      <w:r w:rsidR="00E13A54">
        <w:t xml:space="preserve">s, </w:t>
      </w:r>
      <w:r w:rsidR="00087A12">
        <w:t>who are consulted on funding matters. The group considered an early draft of the new EYE formula and also enabled comment to be passed to the Early Years representative who sits on the Schools Forum. The Schools Forum is where the budget allocated from the DSG is agreed. At the meeting held on 17</w:t>
      </w:r>
      <w:r w:rsidR="00087A12" w:rsidRPr="00087A12">
        <w:rPr>
          <w:vertAlign w:val="superscript"/>
        </w:rPr>
        <w:t>th</w:t>
      </w:r>
      <w:r w:rsidR="00087A12">
        <w:t xml:space="preserve"> January 2017 the Schools Forum agreed to pass all of the funding allocated for Early Years within the DSG to the sector. This now enables a full consultation on the new formula for EYE providers to take place.</w:t>
      </w:r>
    </w:p>
    <w:p w:rsidR="00087A12" w:rsidRDefault="00087A12"/>
    <w:p w:rsidR="001C6132" w:rsidRDefault="00087A12">
      <w:r>
        <w:rPr>
          <w:b/>
        </w:rPr>
        <w:t xml:space="preserve">Please note – </w:t>
      </w:r>
      <w:r>
        <w:t xml:space="preserve">the DfE have not published the final </w:t>
      </w:r>
      <w:r w:rsidR="001C6132">
        <w:t xml:space="preserve">Code of Practice for the EYE to date. This is expected to be a national agreement in 2017. This will be </w:t>
      </w:r>
    </w:p>
    <w:p w:rsidR="001C6132" w:rsidRDefault="001C6132">
      <w:r>
        <w:lastRenderedPageBreak/>
        <w:t xml:space="preserve">shared when published </w:t>
      </w:r>
      <w:r w:rsidR="006E5632">
        <w:t>and</w:t>
      </w:r>
      <w:r>
        <w:t xml:space="preserve"> may also impact on your future planning</w:t>
      </w:r>
      <w:r w:rsidR="009D75B6">
        <w:t xml:space="preserve"> as the terms and conditions may be different from those currently agreed.</w:t>
      </w:r>
    </w:p>
    <w:p w:rsidR="009D75B6" w:rsidRDefault="009D75B6"/>
    <w:p w:rsidR="001C6132" w:rsidRDefault="001C6132">
      <w:pPr>
        <w:rPr>
          <w:b/>
        </w:rPr>
      </w:pPr>
      <w:r w:rsidRPr="001C6132">
        <w:rPr>
          <w:b/>
        </w:rPr>
        <w:t>The Proposed Formula</w:t>
      </w:r>
    </w:p>
    <w:p w:rsidR="001C6132" w:rsidRDefault="001C6132">
      <w:pPr>
        <w:rPr>
          <w:b/>
        </w:rPr>
      </w:pPr>
    </w:p>
    <w:p w:rsidR="001C6132" w:rsidRDefault="001C6132">
      <w:r>
        <w:t xml:space="preserve">Bath and North East Somerset Council will receive an indicative budget of </w:t>
      </w:r>
      <w:r w:rsidRPr="001C6132">
        <w:t>£8,869,538</w:t>
      </w:r>
      <w:r>
        <w:t xml:space="preserve"> to fund EYE during 2017/18. The DfE review this budget in light of the data received in the annual January census so this is not the final amount</w:t>
      </w:r>
      <w:r w:rsidR="00D63C55">
        <w:t xml:space="preserve"> the Council may rece</w:t>
      </w:r>
      <w:r w:rsidR="002C1107">
        <w:t>i</w:t>
      </w:r>
      <w:r w:rsidR="00D63C55">
        <w:t>ve</w:t>
      </w:r>
      <w:r>
        <w:t>. What does not change is the rate of the amount allocated per child. Therefore any future increase or indeed, decrease, is to reflect the actual attendance of children in each Council area.</w:t>
      </w:r>
    </w:p>
    <w:p w:rsidR="001C6132" w:rsidRDefault="001C6132"/>
    <w:p w:rsidR="00D63C55" w:rsidRDefault="002A214A">
      <w:r>
        <w:t>For the first time the DfE have confirmed what they expect a Council to use</w:t>
      </w:r>
      <w:r w:rsidR="00E13A54">
        <w:t>,</w:t>
      </w:r>
      <w:r>
        <w:t xml:space="preserve"> within the </w:t>
      </w:r>
      <w:r w:rsidR="00D63C55">
        <w:t>DSG funding allocation</w:t>
      </w:r>
      <w:r w:rsidR="00E13A54">
        <w:t>,</w:t>
      </w:r>
      <w:r w:rsidR="00D63C55">
        <w:t xml:space="preserve"> to support the services needed to deliver both the entitlement to providers and also the support services to the sector, for example Early Years support teams, CPD, SEND support and so on. They have set this at 5% although for 2017/18 Councils can withdraw up to 7% should they require. This transitional arrangement is in place to support those Councils who have previously withdrawn more than the DfE are now allowing</w:t>
      </w:r>
      <w:r w:rsidR="00F01634">
        <w:t xml:space="preserve"> easing</w:t>
      </w:r>
      <w:r w:rsidR="00D63C55">
        <w:t xml:space="preserve"> transition to the new arrang</w:t>
      </w:r>
      <w:r w:rsidR="00113939">
        <w:t>e</w:t>
      </w:r>
      <w:r w:rsidR="00D63C55">
        <w:t>ments.</w:t>
      </w:r>
    </w:p>
    <w:p w:rsidR="00D63C55" w:rsidRDefault="00D63C55"/>
    <w:p w:rsidR="00113939" w:rsidRDefault="00D63C55">
      <w:r>
        <w:t xml:space="preserve">In Bath and North East Somerset Council it is intended to use 5% of the budget allocated to 3 and 4 year funding only. This is due to lack clarity </w:t>
      </w:r>
      <w:r w:rsidR="00113939">
        <w:t>from the DfE within what they have published to date about which parts of the funding can be drawn down from. Overall this makes the Council’s draw down closer to 4% when viewed in the context of the overall budget and significantly lower than the 7% the DfE would allow under their guidance for the next financial year.</w:t>
      </w:r>
    </w:p>
    <w:p w:rsidR="00113939" w:rsidRDefault="00113939"/>
    <w:p w:rsidR="00B61F9A" w:rsidRDefault="00B61F9A">
      <w:r>
        <w:t>The new formula will appear very similar to the existing formula used by Bath and North East Somerset Council but there are some differences within the elements and how you qualify. The following have been proposed</w:t>
      </w:r>
      <w:r w:rsidR="002C1107">
        <w:t>, reviewed and amended based on feedback from</w:t>
      </w:r>
      <w:r>
        <w:t xml:space="preserve"> the Ear</w:t>
      </w:r>
      <w:r w:rsidR="009D75B6">
        <w:t>l</w:t>
      </w:r>
      <w:r>
        <w:t>y Years Reference Group:</w:t>
      </w:r>
    </w:p>
    <w:p w:rsidR="00B61F9A" w:rsidRDefault="00B61F9A"/>
    <w:p w:rsidR="00B61F9A" w:rsidRDefault="00B61F9A" w:rsidP="00B61F9A">
      <w:pPr>
        <w:pStyle w:val="ListParagraph"/>
        <w:numPr>
          <w:ilvl w:val="0"/>
          <w:numId w:val="1"/>
        </w:numPr>
      </w:pPr>
      <w:r>
        <w:t>Base rate for all providers</w:t>
      </w:r>
    </w:p>
    <w:p w:rsidR="00B61F9A" w:rsidRDefault="00B61F9A" w:rsidP="00B61F9A">
      <w:pPr>
        <w:pStyle w:val="ListParagraph"/>
        <w:numPr>
          <w:ilvl w:val="0"/>
          <w:numId w:val="1"/>
        </w:numPr>
      </w:pPr>
      <w:r>
        <w:t>A flexibility supplement for delivery of the current entitlement</w:t>
      </w:r>
    </w:p>
    <w:p w:rsidR="00B61F9A" w:rsidRDefault="00B61F9A" w:rsidP="00B61F9A">
      <w:pPr>
        <w:pStyle w:val="ListParagraph"/>
        <w:numPr>
          <w:ilvl w:val="0"/>
          <w:numId w:val="1"/>
        </w:numPr>
      </w:pPr>
      <w:r>
        <w:t xml:space="preserve">A full offer supplement for the </w:t>
      </w:r>
      <w:r w:rsidR="002C1107">
        <w:t xml:space="preserve">new </w:t>
      </w:r>
      <w:r>
        <w:t>extended entitlement</w:t>
      </w:r>
    </w:p>
    <w:p w:rsidR="00B61F9A" w:rsidRDefault="00B61F9A" w:rsidP="00B61F9A">
      <w:pPr>
        <w:pStyle w:val="ListParagraph"/>
        <w:numPr>
          <w:ilvl w:val="0"/>
          <w:numId w:val="1"/>
        </w:numPr>
      </w:pPr>
      <w:r>
        <w:t>A graduate lead supplement</w:t>
      </w:r>
    </w:p>
    <w:p w:rsidR="00B61F9A" w:rsidRDefault="00B61F9A" w:rsidP="00B61F9A">
      <w:pPr>
        <w:pStyle w:val="ListParagraph"/>
        <w:numPr>
          <w:ilvl w:val="0"/>
          <w:numId w:val="1"/>
        </w:numPr>
      </w:pPr>
      <w:r>
        <w:t>Deprivation supplement</w:t>
      </w:r>
    </w:p>
    <w:p w:rsidR="00B61F9A" w:rsidRDefault="00B61F9A" w:rsidP="00B61F9A"/>
    <w:p w:rsidR="00B61F9A" w:rsidRDefault="00B61F9A" w:rsidP="00B61F9A">
      <w:r>
        <w:t>In addition the Early Years Pupil Premium (EYPP) will continue as before for 3 and 4 year old children</w:t>
      </w:r>
    </w:p>
    <w:p w:rsidR="00B61F9A" w:rsidRDefault="00B61F9A" w:rsidP="00B61F9A"/>
    <w:p w:rsidR="00B61F9A" w:rsidRDefault="00B61F9A">
      <w:r>
        <w:t>Finally 2 year olds will continue to be paid at a flat rate as before.</w:t>
      </w:r>
    </w:p>
    <w:p w:rsidR="009D75B6" w:rsidRDefault="009D75B6">
      <w:r>
        <w:br w:type="page"/>
      </w:r>
    </w:p>
    <w:p w:rsidR="00B61F9A" w:rsidRDefault="00B61F9A">
      <w:pPr>
        <w:rPr>
          <w:b/>
        </w:rPr>
      </w:pPr>
      <w:r>
        <w:rPr>
          <w:b/>
        </w:rPr>
        <w:lastRenderedPageBreak/>
        <w:t xml:space="preserve">The Details </w:t>
      </w:r>
    </w:p>
    <w:p w:rsidR="00B61F9A" w:rsidRDefault="00B61F9A">
      <w:pPr>
        <w:rPr>
          <w:b/>
        </w:rPr>
      </w:pPr>
    </w:p>
    <w:p w:rsidR="009D75B6" w:rsidRDefault="009D75B6">
      <w:r>
        <w:t>2 year old funding will increase from £5.07 to £5.43, a 7% increase and a full pass on of the funding allocated by the DfE.</w:t>
      </w:r>
    </w:p>
    <w:p w:rsidR="009D75B6" w:rsidRDefault="009D75B6"/>
    <w:p w:rsidR="009D75B6" w:rsidRDefault="009D75B6">
      <w:r>
        <w:t xml:space="preserve">3 and 4 year old funding </w:t>
      </w:r>
      <w:r w:rsidR="00E13A54">
        <w:t>could</w:t>
      </w:r>
      <w:r>
        <w:t xml:space="preserve"> be allocated as follows</w:t>
      </w:r>
      <w:r w:rsidR="00E13A54">
        <w:t>. These proposals that could be implemented have been discussed in depth with the Early Years Reference Group. T</w:t>
      </w:r>
      <w:r w:rsidR="00FC2038">
        <w:t>he table further on</w:t>
      </w:r>
      <w:r w:rsidR="00E13A54">
        <w:t xml:space="preserve"> in the document</w:t>
      </w:r>
      <w:r w:rsidR="00FC2038">
        <w:t xml:space="preserve"> provides the funding rates</w:t>
      </w:r>
      <w:r>
        <w:t>: -</w:t>
      </w:r>
    </w:p>
    <w:p w:rsidR="009D75B6" w:rsidRDefault="009D75B6"/>
    <w:p w:rsidR="00044172" w:rsidRDefault="00044172" w:rsidP="00392652">
      <w:pPr>
        <w:pStyle w:val="ListParagraph"/>
        <w:numPr>
          <w:ilvl w:val="0"/>
          <w:numId w:val="3"/>
        </w:numPr>
      </w:pPr>
      <w:r>
        <w:t xml:space="preserve">Base rate – paid </w:t>
      </w:r>
      <w:r w:rsidR="00F01634">
        <w:t xml:space="preserve">per child </w:t>
      </w:r>
      <w:r>
        <w:t>to all Ofsted registered provision meeting the requirements of the DfE’s new national provider agreement (to be published) who sign the agreement and continue to meet its conditions. Providers will remain on the base rate</w:t>
      </w:r>
      <w:r w:rsidR="009F5F1D">
        <w:t xml:space="preserve"> unless they are delivering one </w:t>
      </w:r>
      <w:r w:rsidR="002C1107">
        <w:t xml:space="preserve">or more </w:t>
      </w:r>
      <w:r w:rsidR="009F5F1D">
        <w:t>of the following: -</w:t>
      </w:r>
      <w:r>
        <w:t xml:space="preserve"> </w:t>
      </w:r>
    </w:p>
    <w:p w:rsidR="00044172" w:rsidRDefault="00044172" w:rsidP="00392652"/>
    <w:p w:rsidR="00FC2038" w:rsidRPr="00E13A54" w:rsidRDefault="00FC2038" w:rsidP="00392652">
      <w:pPr>
        <w:pStyle w:val="ListParagraph"/>
        <w:numPr>
          <w:ilvl w:val="0"/>
          <w:numId w:val="3"/>
        </w:numPr>
      </w:pPr>
      <w:r>
        <w:t xml:space="preserve">Providers offering between 570 hours (the core EYE offer for all) and 1140 hours over a minimum of 38 weeks for at least 6 hours a day will receive the partially enhanced </w:t>
      </w:r>
      <w:r w:rsidRPr="00E13A54">
        <w:t>hourly rate</w:t>
      </w:r>
      <w:r w:rsidR="00F01634">
        <w:t xml:space="preserve"> for each child</w:t>
      </w:r>
      <w:r w:rsidR="00E13A54" w:rsidRPr="00E13A54">
        <w:t>.</w:t>
      </w:r>
      <w:r w:rsidR="00940D60" w:rsidRPr="00E13A54">
        <w:t xml:space="preserve"> </w:t>
      </w:r>
    </w:p>
    <w:p w:rsidR="00E13A54" w:rsidRDefault="00E13A54" w:rsidP="00E13A54">
      <w:pPr>
        <w:pStyle w:val="ListParagraph"/>
      </w:pPr>
    </w:p>
    <w:p w:rsidR="00FC2038" w:rsidRDefault="00FC2038" w:rsidP="00392652">
      <w:pPr>
        <w:pStyle w:val="ListParagraph"/>
        <w:numPr>
          <w:ilvl w:val="0"/>
          <w:numId w:val="3"/>
        </w:numPr>
      </w:pPr>
      <w:r>
        <w:t>Providers offering 1140 hours over a minimum of 38 weeks for 10 hours a day (DfE daily maximum) will receive the fully enhance</w:t>
      </w:r>
      <w:r w:rsidR="00E13A54">
        <w:t>d</w:t>
      </w:r>
      <w:r>
        <w:t xml:space="preserve"> hourly rate</w:t>
      </w:r>
      <w:r w:rsidR="00F01634">
        <w:t xml:space="preserve"> for each child</w:t>
      </w:r>
      <w:r>
        <w:t>;</w:t>
      </w:r>
    </w:p>
    <w:p w:rsidR="00FC2038" w:rsidRDefault="00FC2038" w:rsidP="00392652">
      <w:pPr>
        <w:pStyle w:val="ListParagraph"/>
      </w:pPr>
    </w:p>
    <w:p w:rsidR="00490D7A" w:rsidRDefault="00FC2038" w:rsidP="00392652">
      <w:pPr>
        <w:pStyle w:val="ListParagraph"/>
        <w:numPr>
          <w:ilvl w:val="0"/>
          <w:numId w:val="3"/>
        </w:numPr>
      </w:pPr>
      <w:r>
        <w:t>Providers employing an Early Years Qual</w:t>
      </w:r>
      <w:r w:rsidR="00490D7A">
        <w:t>i</w:t>
      </w:r>
      <w:r>
        <w:t>fie</w:t>
      </w:r>
      <w:r w:rsidR="00490D7A">
        <w:t xml:space="preserve">d Teacher (QT) or graduate level </w:t>
      </w:r>
      <w:r w:rsidR="002C1107">
        <w:t xml:space="preserve">equivalent </w:t>
      </w:r>
      <w:r w:rsidR="00490D7A">
        <w:t xml:space="preserve">working </w:t>
      </w:r>
      <w:r w:rsidR="00490D7A" w:rsidRPr="00E13A54">
        <w:t xml:space="preserve">1265 </w:t>
      </w:r>
      <w:r w:rsidR="00E13A54" w:rsidRPr="00E13A54">
        <w:t xml:space="preserve">hours </w:t>
      </w:r>
      <w:r w:rsidR="00490D7A">
        <w:t>a year (or full time equivalent</w:t>
      </w:r>
      <w:r w:rsidR="00E13A54">
        <w:t>)</w:t>
      </w:r>
      <w:r w:rsidR="00490D7A">
        <w:t xml:space="preserve"> spending at least 50% of their working time directly with the children will qualify for an additional hourly rate;</w:t>
      </w:r>
    </w:p>
    <w:p w:rsidR="00490D7A" w:rsidRDefault="00490D7A" w:rsidP="00392652">
      <w:pPr>
        <w:pStyle w:val="ListParagraph"/>
      </w:pPr>
    </w:p>
    <w:p w:rsidR="00490D7A" w:rsidRDefault="00490D7A" w:rsidP="00392652">
      <w:pPr>
        <w:pStyle w:val="ListParagraph"/>
        <w:numPr>
          <w:ilvl w:val="0"/>
          <w:numId w:val="3"/>
        </w:numPr>
      </w:pPr>
      <w:r>
        <w:t>The current deprivation supplement will be maintained and marginally increased per hour;</w:t>
      </w:r>
    </w:p>
    <w:p w:rsidR="00490D7A" w:rsidRDefault="00490D7A" w:rsidP="00392652">
      <w:pPr>
        <w:pStyle w:val="ListParagraph"/>
      </w:pPr>
    </w:p>
    <w:p w:rsidR="00490D7A" w:rsidRDefault="00490D7A" w:rsidP="00392652">
      <w:pPr>
        <w:pStyle w:val="ListParagraph"/>
        <w:numPr>
          <w:ilvl w:val="0"/>
          <w:numId w:val="3"/>
        </w:numPr>
      </w:pPr>
      <w:r>
        <w:t>New areas will be entitled to a deprivation supplement paid at half the rate of the existing deprivation supplement.</w:t>
      </w:r>
    </w:p>
    <w:p w:rsidR="00490D7A" w:rsidRDefault="00490D7A" w:rsidP="00490D7A">
      <w:pPr>
        <w:pStyle w:val="ListParagraph"/>
      </w:pPr>
    </w:p>
    <w:p w:rsidR="00D866B1" w:rsidRDefault="00D866B1" w:rsidP="00490D7A">
      <w:r w:rsidRPr="00D866B1">
        <w:rPr>
          <w:b/>
        </w:rPr>
        <w:t>Please note</w:t>
      </w:r>
      <w:r w:rsidRPr="00681096">
        <w:rPr>
          <w:b/>
        </w:rPr>
        <w:t>:</w:t>
      </w:r>
      <w:r>
        <w:t xml:space="preserve"> the DFE guidance does not permit more than 10.5% of the overall budget to be spent on supplements. </w:t>
      </w:r>
    </w:p>
    <w:p w:rsidR="00681096" w:rsidRDefault="00681096" w:rsidP="00490D7A"/>
    <w:p w:rsidR="00681096" w:rsidRPr="00681096" w:rsidRDefault="00681096" w:rsidP="00490D7A">
      <w:r w:rsidRPr="00681096">
        <w:rPr>
          <w:b/>
        </w:rPr>
        <w:t xml:space="preserve">Please note: </w:t>
      </w:r>
      <w:r w:rsidRPr="00681096">
        <w:t>a de</w:t>
      </w:r>
      <w:r>
        <w:t>privation supplement i</w:t>
      </w:r>
      <w:r w:rsidR="00E13A54">
        <w:t>s</w:t>
      </w:r>
      <w:r>
        <w:t xml:space="preserve"> mandatory within DfE guidance</w:t>
      </w:r>
    </w:p>
    <w:p w:rsidR="00D866B1" w:rsidRDefault="00D866B1" w:rsidP="00490D7A"/>
    <w:p w:rsidR="004863EA" w:rsidRDefault="004863EA" w:rsidP="00490D7A"/>
    <w:p w:rsidR="004863EA" w:rsidRDefault="004863EA" w:rsidP="00490D7A"/>
    <w:p w:rsidR="00E13A54" w:rsidRDefault="00E13A54">
      <w:r>
        <w:br w:type="page"/>
      </w:r>
    </w:p>
    <w:p w:rsidR="00490D7A" w:rsidRDefault="00490D7A" w:rsidP="00490D7A">
      <w:r>
        <w:lastRenderedPageBreak/>
        <w:t>The following table out</w:t>
      </w:r>
      <w:r w:rsidR="0060586C">
        <w:t>l</w:t>
      </w:r>
      <w:r>
        <w:t>ines the hourly rates and how they compare to what you currently receive.</w:t>
      </w:r>
    </w:p>
    <w:p w:rsidR="00490D7A" w:rsidRDefault="00490D7A" w:rsidP="00490D7A"/>
    <w:tbl>
      <w:tblPr>
        <w:tblStyle w:val="TableGrid"/>
        <w:tblW w:w="0" w:type="auto"/>
        <w:tblLook w:val="04A0" w:firstRow="1" w:lastRow="0" w:firstColumn="1" w:lastColumn="0" w:noHBand="0" w:noVBand="1"/>
      </w:tblPr>
      <w:tblGrid>
        <w:gridCol w:w="2518"/>
        <w:gridCol w:w="1134"/>
        <w:gridCol w:w="1276"/>
        <w:gridCol w:w="1933"/>
        <w:gridCol w:w="1661"/>
      </w:tblGrid>
      <w:tr w:rsidR="0060586C" w:rsidTr="0060586C">
        <w:tc>
          <w:tcPr>
            <w:tcW w:w="2518" w:type="dxa"/>
          </w:tcPr>
          <w:p w:rsidR="0060586C" w:rsidRDefault="0060586C" w:rsidP="0060586C">
            <w:pPr>
              <w:jc w:val="center"/>
            </w:pPr>
            <w:r>
              <w:t>Rate</w:t>
            </w:r>
          </w:p>
        </w:tc>
        <w:tc>
          <w:tcPr>
            <w:tcW w:w="1134" w:type="dxa"/>
          </w:tcPr>
          <w:p w:rsidR="0060586C" w:rsidRDefault="0060586C" w:rsidP="0060586C">
            <w:pPr>
              <w:jc w:val="center"/>
            </w:pPr>
            <w:r>
              <w:t>New</w:t>
            </w:r>
          </w:p>
        </w:tc>
        <w:tc>
          <w:tcPr>
            <w:tcW w:w="1276" w:type="dxa"/>
          </w:tcPr>
          <w:p w:rsidR="0060586C" w:rsidRDefault="0060586C" w:rsidP="0060586C">
            <w:pPr>
              <w:jc w:val="center"/>
            </w:pPr>
            <w:r>
              <w:t>Current</w:t>
            </w:r>
          </w:p>
        </w:tc>
        <w:tc>
          <w:tcPr>
            <w:tcW w:w="1933" w:type="dxa"/>
          </w:tcPr>
          <w:p w:rsidR="0060586C" w:rsidRDefault="0060586C" w:rsidP="0060586C">
            <w:pPr>
              <w:jc w:val="center"/>
            </w:pPr>
            <w:r>
              <w:t>Hourly increase</w:t>
            </w:r>
          </w:p>
        </w:tc>
        <w:tc>
          <w:tcPr>
            <w:tcW w:w="1661" w:type="dxa"/>
          </w:tcPr>
          <w:p w:rsidR="0060586C" w:rsidRDefault="0060586C" w:rsidP="0060586C">
            <w:pPr>
              <w:jc w:val="center"/>
            </w:pPr>
            <w:r>
              <w:t>% increase</w:t>
            </w:r>
          </w:p>
        </w:tc>
      </w:tr>
      <w:tr w:rsidR="0060586C" w:rsidTr="0060586C">
        <w:tc>
          <w:tcPr>
            <w:tcW w:w="2518" w:type="dxa"/>
          </w:tcPr>
          <w:p w:rsidR="0060586C" w:rsidRPr="005378F4" w:rsidRDefault="0060586C" w:rsidP="00487826">
            <w:r w:rsidRPr="005378F4">
              <w:t>Base rate a)</w:t>
            </w:r>
          </w:p>
        </w:tc>
        <w:tc>
          <w:tcPr>
            <w:tcW w:w="1134" w:type="dxa"/>
          </w:tcPr>
          <w:p w:rsidR="0060586C" w:rsidRPr="00CB4BEF" w:rsidRDefault="0060586C" w:rsidP="0060586C">
            <w:pPr>
              <w:jc w:val="center"/>
            </w:pPr>
            <w:r w:rsidRPr="00CB4BEF">
              <w:t>£3.80</w:t>
            </w:r>
          </w:p>
        </w:tc>
        <w:tc>
          <w:tcPr>
            <w:tcW w:w="1276" w:type="dxa"/>
          </w:tcPr>
          <w:p w:rsidR="0060586C" w:rsidRPr="006A3C7D" w:rsidRDefault="0060586C" w:rsidP="0060586C">
            <w:pPr>
              <w:jc w:val="center"/>
            </w:pPr>
            <w:r w:rsidRPr="006A3C7D">
              <w:t>£3.58</w:t>
            </w:r>
          </w:p>
        </w:tc>
        <w:tc>
          <w:tcPr>
            <w:tcW w:w="1933" w:type="dxa"/>
          </w:tcPr>
          <w:p w:rsidR="0060586C" w:rsidRPr="00420BC2" w:rsidRDefault="0060586C" w:rsidP="0060586C">
            <w:pPr>
              <w:jc w:val="center"/>
            </w:pPr>
            <w:r w:rsidRPr="00420BC2">
              <w:t>£0.22</w:t>
            </w:r>
          </w:p>
        </w:tc>
        <w:tc>
          <w:tcPr>
            <w:tcW w:w="1661" w:type="dxa"/>
          </w:tcPr>
          <w:p w:rsidR="0060586C" w:rsidRPr="003D5362" w:rsidRDefault="0060586C" w:rsidP="0060586C">
            <w:pPr>
              <w:jc w:val="center"/>
            </w:pPr>
            <w:r w:rsidRPr="003D5362">
              <w:t>6%</w:t>
            </w:r>
          </w:p>
        </w:tc>
      </w:tr>
      <w:tr w:rsidR="0060586C" w:rsidTr="0060586C">
        <w:tc>
          <w:tcPr>
            <w:tcW w:w="2518" w:type="dxa"/>
          </w:tcPr>
          <w:p w:rsidR="0060586C" w:rsidRPr="005378F4" w:rsidRDefault="0060586C" w:rsidP="0060586C">
            <w:r w:rsidRPr="005378F4">
              <w:t>Fl</w:t>
            </w:r>
            <w:r>
              <w:t>e</w:t>
            </w:r>
            <w:r w:rsidRPr="005378F4">
              <w:t>xible offer b)</w:t>
            </w:r>
          </w:p>
        </w:tc>
        <w:tc>
          <w:tcPr>
            <w:tcW w:w="1134" w:type="dxa"/>
          </w:tcPr>
          <w:p w:rsidR="0060586C" w:rsidRPr="00CB4BEF" w:rsidRDefault="0060586C" w:rsidP="0060586C">
            <w:pPr>
              <w:jc w:val="center"/>
            </w:pPr>
            <w:r w:rsidRPr="00CB4BEF">
              <w:t>£3.90</w:t>
            </w:r>
          </w:p>
        </w:tc>
        <w:tc>
          <w:tcPr>
            <w:tcW w:w="1276" w:type="dxa"/>
          </w:tcPr>
          <w:p w:rsidR="0060586C" w:rsidRPr="006A3C7D" w:rsidRDefault="0060586C" w:rsidP="0060586C">
            <w:pPr>
              <w:jc w:val="center"/>
            </w:pPr>
            <w:r w:rsidRPr="006A3C7D">
              <w:t>£3.68</w:t>
            </w:r>
          </w:p>
        </w:tc>
        <w:tc>
          <w:tcPr>
            <w:tcW w:w="1933" w:type="dxa"/>
          </w:tcPr>
          <w:p w:rsidR="0060586C" w:rsidRPr="00420BC2" w:rsidRDefault="0060586C" w:rsidP="0060586C">
            <w:pPr>
              <w:jc w:val="center"/>
            </w:pPr>
            <w:r w:rsidRPr="00420BC2">
              <w:t>£0.22</w:t>
            </w:r>
          </w:p>
        </w:tc>
        <w:tc>
          <w:tcPr>
            <w:tcW w:w="1661" w:type="dxa"/>
          </w:tcPr>
          <w:p w:rsidR="0060586C" w:rsidRPr="003D5362" w:rsidRDefault="0060586C" w:rsidP="0060586C">
            <w:pPr>
              <w:jc w:val="center"/>
            </w:pPr>
            <w:r w:rsidRPr="003D5362">
              <w:t>6%</w:t>
            </w:r>
          </w:p>
        </w:tc>
      </w:tr>
      <w:tr w:rsidR="0060586C" w:rsidTr="0060586C">
        <w:tc>
          <w:tcPr>
            <w:tcW w:w="2518" w:type="dxa"/>
          </w:tcPr>
          <w:p w:rsidR="0060586C" w:rsidRPr="005378F4" w:rsidRDefault="0060586C" w:rsidP="002C1107">
            <w:r w:rsidRPr="005378F4">
              <w:t xml:space="preserve">Flexible offer b) plus </w:t>
            </w:r>
            <w:r w:rsidR="002C1107">
              <w:t>relevant graduate</w:t>
            </w:r>
          </w:p>
        </w:tc>
        <w:tc>
          <w:tcPr>
            <w:tcW w:w="1134" w:type="dxa"/>
          </w:tcPr>
          <w:p w:rsidR="0060586C" w:rsidRPr="00CB4BEF" w:rsidRDefault="0060586C" w:rsidP="0060586C">
            <w:pPr>
              <w:jc w:val="center"/>
            </w:pPr>
            <w:r w:rsidRPr="00CB4BEF">
              <w:t>£4.05</w:t>
            </w:r>
          </w:p>
        </w:tc>
        <w:tc>
          <w:tcPr>
            <w:tcW w:w="1276" w:type="dxa"/>
          </w:tcPr>
          <w:p w:rsidR="0060586C" w:rsidRPr="006A3C7D" w:rsidRDefault="0060586C" w:rsidP="0060586C">
            <w:pPr>
              <w:jc w:val="center"/>
            </w:pPr>
            <w:r w:rsidRPr="006A3C7D">
              <w:t>£3.83</w:t>
            </w:r>
          </w:p>
        </w:tc>
        <w:tc>
          <w:tcPr>
            <w:tcW w:w="1933" w:type="dxa"/>
          </w:tcPr>
          <w:p w:rsidR="0060586C" w:rsidRPr="00420BC2" w:rsidRDefault="0060586C" w:rsidP="0060586C">
            <w:pPr>
              <w:jc w:val="center"/>
            </w:pPr>
            <w:r w:rsidRPr="00420BC2">
              <w:t>£0.22</w:t>
            </w:r>
          </w:p>
        </w:tc>
        <w:tc>
          <w:tcPr>
            <w:tcW w:w="1661" w:type="dxa"/>
          </w:tcPr>
          <w:p w:rsidR="0060586C" w:rsidRPr="003D5362" w:rsidRDefault="0060586C" w:rsidP="0060586C">
            <w:pPr>
              <w:jc w:val="center"/>
            </w:pPr>
            <w:r w:rsidRPr="003D5362">
              <w:t>6%</w:t>
            </w:r>
          </w:p>
        </w:tc>
      </w:tr>
      <w:tr w:rsidR="0060586C" w:rsidTr="0060586C">
        <w:tc>
          <w:tcPr>
            <w:tcW w:w="2518" w:type="dxa"/>
          </w:tcPr>
          <w:p w:rsidR="0060586C" w:rsidRPr="005378F4" w:rsidRDefault="0060586C" w:rsidP="00487826">
            <w:r w:rsidRPr="005378F4">
              <w:t>Flexible offer c)</w:t>
            </w:r>
          </w:p>
        </w:tc>
        <w:tc>
          <w:tcPr>
            <w:tcW w:w="1134" w:type="dxa"/>
          </w:tcPr>
          <w:p w:rsidR="0060586C" w:rsidRPr="00CB4BEF" w:rsidRDefault="0060586C" w:rsidP="0060586C">
            <w:pPr>
              <w:jc w:val="center"/>
            </w:pPr>
            <w:r w:rsidRPr="00CB4BEF">
              <w:t>£4.05</w:t>
            </w:r>
          </w:p>
        </w:tc>
        <w:tc>
          <w:tcPr>
            <w:tcW w:w="1276" w:type="dxa"/>
          </w:tcPr>
          <w:p w:rsidR="0060586C" w:rsidRPr="006A3C7D" w:rsidRDefault="0060586C" w:rsidP="0060586C">
            <w:pPr>
              <w:jc w:val="center"/>
            </w:pPr>
            <w:r w:rsidRPr="006A3C7D">
              <w:t>£3.83</w:t>
            </w:r>
          </w:p>
        </w:tc>
        <w:tc>
          <w:tcPr>
            <w:tcW w:w="1933" w:type="dxa"/>
          </w:tcPr>
          <w:p w:rsidR="0060586C" w:rsidRPr="00420BC2" w:rsidRDefault="0060586C" w:rsidP="0060586C">
            <w:pPr>
              <w:jc w:val="center"/>
            </w:pPr>
            <w:r w:rsidRPr="00420BC2">
              <w:t>£0.22</w:t>
            </w:r>
          </w:p>
        </w:tc>
        <w:tc>
          <w:tcPr>
            <w:tcW w:w="1661" w:type="dxa"/>
          </w:tcPr>
          <w:p w:rsidR="0060586C" w:rsidRPr="003D5362" w:rsidRDefault="0060586C" w:rsidP="0060586C">
            <w:pPr>
              <w:jc w:val="center"/>
            </w:pPr>
            <w:r w:rsidRPr="003D5362">
              <w:t>6%</w:t>
            </w:r>
          </w:p>
        </w:tc>
      </w:tr>
      <w:tr w:rsidR="0060586C" w:rsidTr="0060586C">
        <w:tc>
          <w:tcPr>
            <w:tcW w:w="2518" w:type="dxa"/>
          </w:tcPr>
          <w:p w:rsidR="0060586C" w:rsidRDefault="0060586C" w:rsidP="002C1107">
            <w:r w:rsidRPr="005378F4">
              <w:t>Flexible offer c) plus</w:t>
            </w:r>
            <w:r w:rsidR="002C1107">
              <w:t xml:space="preserve"> </w:t>
            </w:r>
            <w:r w:rsidR="002C1107" w:rsidRPr="002C1107">
              <w:t>relevant graduate</w:t>
            </w:r>
            <w:r w:rsidRPr="005378F4">
              <w:t xml:space="preserve"> </w:t>
            </w:r>
          </w:p>
        </w:tc>
        <w:tc>
          <w:tcPr>
            <w:tcW w:w="1134" w:type="dxa"/>
          </w:tcPr>
          <w:p w:rsidR="0060586C" w:rsidRDefault="0060586C" w:rsidP="0060586C">
            <w:pPr>
              <w:jc w:val="center"/>
            </w:pPr>
            <w:r w:rsidRPr="00CB4BEF">
              <w:t>£4.20</w:t>
            </w:r>
          </w:p>
        </w:tc>
        <w:tc>
          <w:tcPr>
            <w:tcW w:w="1276" w:type="dxa"/>
          </w:tcPr>
          <w:p w:rsidR="0060586C" w:rsidRDefault="0060586C" w:rsidP="0060586C">
            <w:pPr>
              <w:jc w:val="center"/>
            </w:pPr>
            <w:r w:rsidRPr="006A3C7D">
              <w:t>£3.83</w:t>
            </w:r>
          </w:p>
        </w:tc>
        <w:tc>
          <w:tcPr>
            <w:tcW w:w="1933" w:type="dxa"/>
          </w:tcPr>
          <w:p w:rsidR="0060586C" w:rsidRDefault="0060586C" w:rsidP="0060586C">
            <w:pPr>
              <w:jc w:val="center"/>
            </w:pPr>
            <w:r w:rsidRPr="00420BC2">
              <w:t>£0.37</w:t>
            </w:r>
          </w:p>
        </w:tc>
        <w:tc>
          <w:tcPr>
            <w:tcW w:w="1661" w:type="dxa"/>
          </w:tcPr>
          <w:p w:rsidR="0060586C" w:rsidRDefault="0060586C" w:rsidP="0060586C">
            <w:pPr>
              <w:jc w:val="center"/>
            </w:pPr>
            <w:r w:rsidRPr="003D5362">
              <w:t>10%</w:t>
            </w:r>
          </w:p>
        </w:tc>
      </w:tr>
    </w:tbl>
    <w:p w:rsidR="002C1107" w:rsidRDefault="002C1107"/>
    <w:p w:rsidR="0060586C" w:rsidRDefault="008A059D" w:rsidP="00490D7A">
      <w:r>
        <w:t>The d</w:t>
      </w:r>
      <w:r w:rsidR="0060586C">
        <w:t xml:space="preserve">eprivation </w:t>
      </w:r>
      <w:r>
        <w:t xml:space="preserve">supplement </w:t>
      </w:r>
      <w:r w:rsidR="0060586C">
        <w:t xml:space="preserve">will be </w:t>
      </w:r>
      <w:r>
        <w:t>p</w:t>
      </w:r>
      <w:r w:rsidR="000304BB">
        <w:t xml:space="preserve">aid per </w:t>
      </w:r>
      <w:r>
        <w:t xml:space="preserve">child </w:t>
      </w:r>
      <w:r w:rsidR="00355A60">
        <w:t>b</w:t>
      </w:r>
      <w:r>
        <w:t xml:space="preserve">ased </w:t>
      </w:r>
      <w:r w:rsidR="000304BB">
        <w:t>their home postcode being within a</w:t>
      </w:r>
      <w:r w:rsidR="00355A60">
        <w:t xml:space="preserve"> Lower Super Output Area (LSOA) </w:t>
      </w:r>
      <w:r w:rsidR="000304BB">
        <w:t xml:space="preserve">within the rankings 1 to 4 of </w:t>
      </w:r>
      <w:r w:rsidR="00355A60">
        <w:t xml:space="preserve">the </w:t>
      </w:r>
      <w:r w:rsidR="00465579">
        <w:t>I</w:t>
      </w:r>
      <w:r w:rsidR="00465579" w:rsidRPr="00465579">
        <w:t xml:space="preserve">ncome </w:t>
      </w:r>
      <w:r w:rsidR="00465579">
        <w:t>D</w:t>
      </w:r>
      <w:r w:rsidR="00465579" w:rsidRPr="00465579">
        <w:t xml:space="preserve">eprivation </w:t>
      </w:r>
      <w:r w:rsidR="00465579">
        <w:t>A</w:t>
      </w:r>
      <w:r w:rsidR="00465579" w:rsidRPr="00465579">
        <w:t xml:space="preserve">ffecting </w:t>
      </w:r>
      <w:r w:rsidR="00465579">
        <w:t>C</w:t>
      </w:r>
      <w:r w:rsidR="00465579" w:rsidRPr="00465579">
        <w:t xml:space="preserve">hildren </w:t>
      </w:r>
      <w:r w:rsidR="00465579">
        <w:t>I</w:t>
      </w:r>
      <w:r w:rsidR="00465579" w:rsidRPr="00465579">
        <w:t>ndex</w:t>
      </w:r>
      <w:r w:rsidR="00465579">
        <w:t xml:space="preserve"> (IDACI)</w:t>
      </w:r>
      <w:r w:rsidR="0060586C">
        <w:t xml:space="preserve"> as follows</w:t>
      </w:r>
      <w:r w:rsidR="002C1107">
        <w:t>:</w:t>
      </w:r>
    </w:p>
    <w:p w:rsidR="0049061E" w:rsidRDefault="0049061E" w:rsidP="00490D7A"/>
    <w:p w:rsidR="0049061E" w:rsidRDefault="0049061E" w:rsidP="0049061E">
      <w:pPr>
        <w:pStyle w:val="ListParagraph"/>
        <w:numPr>
          <w:ilvl w:val="0"/>
          <w:numId w:val="5"/>
        </w:numPr>
      </w:pPr>
      <w:r>
        <w:t xml:space="preserve">IDACI ranking 1 and 2 </w:t>
      </w:r>
      <w:r w:rsidR="00081F2B">
        <w:t xml:space="preserve">- </w:t>
      </w:r>
      <w:r>
        <w:t>36p an</w:t>
      </w:r>
      <w:r w:rsidR="00081F2B">
        <w:t xml:space="preserve"> </w:t>
      </w:r>
      <w:r>
        <w:t>hour</w:t>
      </w:r>
    </w:p>
    <w:p w:rsidR="0049061E" w:rsidRDefault="0049061E" w:rsidP="0049061E"/>
    <w:p w:rsidR="0049061E" w:rsidRDefault="0049061E" w:rsidP="0049061E">
      <w:pPr>
        <w:pStyle w:val="ListParagraph"/>
        <w:numPr>
          <w:ilvl w:val="0"/>
          <w:numId w:val="5"/>
        </w:numPr>
      </w:pPr>
      <w:r>
        <w:t xml:space="preserve">IDACI ranking 3 and 4 </w:t>
      </w:r>
      <w:r w:rsidR="00081F2B">
        <w:t xml:space="preserve">- </w:t>
      </w:r>
      <w:r>
        <w:t>18p an hour</w:t>
      </w:r>
    </w:p>
    <w:p w:rsidR="002C1107" w:rsidRDefault="002C1107" w:rsidP="00490D7A"/>
    <w:p w:rsidR="002C1107" w:rsidRDefault="0049061E" w:rsidP="00490D7A">
      <w:r>
        <w:t>Based upon Summer 2016 headcount data this is the number of children in each ranking</w:t>
      </w:r>
      <w:r w:rsidR="000304BB">
        <w:t xml:space="preserve">. This is </w:t>
      </w:r>
      <w:r w:rsidR="00355A60">
        <w:t>19% of all children funded</w:t>
      </w:r>
      <w:r>
        <w:t>:</w:t>
      </w:r>
    </w:p>
    <w:p w:rsidR="0049061E" w:rsidRDefault="0049061E" w:rsidP="00490D7A"/>
    <w:tbl>
      <w:tblPr>
        <w:tblW w:w="3000" w:type="dxa"/>
        <w:tblInd w:w="98" w:type="dxa"/>
        <w:tblLook w:val="04A0" w:firstRow="1" w:lastRow="0" w:firstColumn="1" w:lastColumn="0" w:noHBand="0" w:noVBand="1"/>
      </w:tblPr>
      <w:tblGrid>
        <w:gridCol w:w="1840"/>
        <w:gridCol w:w="1160"/>
      </w:tblGrid>
      <w:tr w:rsidR="009F103C" w:rsidRPr="009F103C" w:rsidTr="009F103C">
        <w:trPr>
          <w:trHeight w:val="525"/>
        </w:trPr>
        <w:tc>
          <w:tcPr>
            <w:tcW w:w="184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9F103C" w:rsidRPr="009F103C" w:rsidRDefault="009F103C" w:rsidP="009F103C">
            <w:pPr>
              <w:jc w:val="center"/>
              <w:rPr>
                <w:rFonts w:cs="Arial"/>
                <w:color w:val="000000"/>
                <w:sz w:val="20"/>
                <w:szCs w:val="20"/>
              </w:rPr>
            </w:pPr>
            <w:r w:rsidRPr="009F103C">
              <w:rPr>
                <w:rFonts w:cs="Arial"/>
                <w:color w:val="000000"/>
                <w:sz w:val="20"/>
                <w:szCs w:val="20"/>
              </w:rPr>
              <w:t>IDACI Ranking</w:t>
            </w:r>
          </w:p>
        </w:tc>
        <w:tc>
          <w:tcPr>
            <w:tcW w:w="1160" w:type="dxa"/>
            <w:tcBorders>
              <w:top w:val="single" w:sz="8" w:space="0" w:color="auto"/>
              <w:left w:val="nil"/>
              <w:bottom w:val="single" w:sz="8" w:space="0" w:color="auto"/>
              <w:right w:val="single" w:sz="8" w:space="0" w:color="auto"/>
            </w:tcBorders>
            <w:shd w:val="clear" w:color="000000" w:fill="BFBFBF"/>
            <w:vAlign w:val="center"/>
            <w:hideMark/>
          </w:tcPr>
          <w:p w:rsidR="009F103C" w:rsidRPr="009F103C" w:rsidRDefault="009F103C" w:rsidP="009F103C">
            <w:pPr>
              <w:jc w:val="center"/>
              <w:rPr>
                <w:rFonts w:cs="Arial"/>
                <w:color w:val="000000"/>
                <w:sz w:val="20"/>
                <w:szCs w:val="20"/>
              </w:rPr>
            </w:pPr>
            <w:r w:rsidRPr="009F103C">
              <w:rPr>
                <w:rFonts w:cs="Arial"/>
                <w:color w:val="000000"/>
                <w:sz w:val="20"/>
                <w:szCs w:val="20"/>
              </w:rPr>
              <w:t>No of children</w:t>
            </w:r>
          </w:p>
        </w:tc>
      </w:tr>
      <w:tr w:rsidR="009F103C" w:rsidRPr="009F103C" w:rsidTr="009F103C">
        <w:trPr>
          <w:trHeight w:val="315"/>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rsidR="009F103C" w:rsidRPr="009F103C" w:rsidRDefault="009F103C" w:rsidP="009F103C">
            <w:pPr>
              <w:jc w:val="center"/>
              <w:rPr>
                <w:rFonts w:cs="Arial"/>
                <w:color w:val="000000"/>
                <w:sz w:val="20"/>
                <w:szCs w:val="20"/>
              </w:rPr>
            </w:pPr>
            <w:r w:rsidRPr="009F103C">
              <w:rPr>
                <w:rFonts w:cs="Arial"/>
                <w:color w:val="000000"/>
                <w:sz w:val="20"/>
                <w:szCs w:val="20"/>
              </w:rPr>
              <w:t>1</w:t>
            </w:r>
          </w:p>
        </w:tc>
        <w:tc>
          <w:tcPr>
            <w:tcW w:w="1160" w:type="dxa"/>
            <w:tcBorders>
              <w:top w:val="nil"/>
              <w:left w:val="nil"/>
              <w:bottom w:val="single" w:sz="8" w:space="0" w:color="auto"/>
              <w:right w:val="single" w:sz="8" w:space="0" w:color="auto"/>
            </w:tcBorders>
            <w:shd w:val="clear" w:color="auto" w:fill="auto"/>
            <w:noWrap/>
            <w:vAlign w:val="center"/>
            <w:hideMark/>
          </w:tcPr>
          <w:p w:rsidR="009F103C" w:rsidRPr="009F103C" w:rsidRDefault="009F103C" w:rsidP="009F103C">
            <w:pPr>
              <w:jc w:val="center"/>
              <w:rPr>
                <w:rFonts w:cs="Arial"/>
                <w:color w:val="000000"/>
                <w:sz w:val="20"/>
                <w:szCs w:val="20"/>
              </w:rPr>
            </w:pPr>
            <w:r w:rsidRPr="009F103C">
              <w:rPr>
                <w:rFonts w:cs="Arial"/>
                <w:color w:val="000000"/>
                <w:sz w:val="20"/>
                <w:szCs w:val="20"/>
              </w:rPr>
              <w:t>41</w:t>
            </w:r>
          </w:p>
        </w:tc>
      </w:tr>
      <w:tr w:rsidR="009F103C" w:rsidRPr="009F103C" w:rsidTr="009F103C">
        <w:trPr>
          <w:trHeight w:val="315"/>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rsidR="009F103C" w:rsidRPr="009F103C" w:rsidRDefault="009F103C" w:rsidP="009F103C">
            <w:pPr>
              <w:jc w:val="center"/>
              <w:rPr>
                <w:rFonts w:cs="Arial"/>
                <w:color w:val="000000"/>
                <w:sz w:val="20"/>
                <w:szCs w:val="20"/>
              </w:rPr>
            </w:pPr>
            <w:r w:rsidRPr="009F103C">
              <w:rPr>
                <w:rFonts w:cs="Arial"/>
                <w:color w:val="000000"/>
                <w:sz w:val="20"/>
                <w:szCs w:val="20"/>
              </w:rPr>
              <w:t>2</w:t>
            </w:r>
          </w:p>
        </w:tc>
        <w:tc>
          <w:tcPr>
            <w:tcW w:w="1160" w:type="dxa"/>
            <w:tcBorders>
              <w:top w:val="nil"/>
              <w:left w:val="nil"/>
              <w:bottom w:val="single" w:sz="8" w:space="0" w:color="auto"/>
              <w:right w:val="single" w:sz="8" w:space="0" w:color="auto"/>
            </w:tcBorders>
            <w:shd w:val="clear" w:color="auto" w:fill="auto"/>
            <w:noWrap/>
            <w:vAlign w:val="center"/>
            <w:hideMark/>
          </w:tcPr>
          <w:p w:rsidR="009F103C" w:rsidRPr="009F103C" w:rsidRDefault="009F103C" w:rsidP="009F103C">
            <w:pPr>
              <w:jc w:val="center"/>
              <w:rPr>
                <w:rFonts w:cs="Arial"/>
                <w:color w:val="000000"/>
                <w:sz w:val="20"/>
                <w:szCs w:val="20"/>
              </w:rPr>
            </w:pPr>
            <w:r w:rsidRPr="009F103C">
              <w:rPr>
                <w:rFonts w:cs="Arial"/>
                <w:color w:val="000000"/>
                <w:sz w:val="20"/>
                <w:szCs w:val="20"/>
              </w:rPr>
              <w:t>191</w:t>
            </w:r>
          </w:p>
        </w:tc>
      </w:tr>
      <w:tr w:rsidR="009F103C" w:rsidRPr="009F103C" w:rsidTr="009F103C">
        <w:trPr>
          <w:trHeight w:val="315"/>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rsidR="009F103C" w:rsidRPr="009F103C" w:rsidRDefault="009F103C" w:rsidP="009F103C">
            <w:pPr>
              <w:jc w:val="center"/>
              <w:rPr>
                <w:rFonts w:cs="Arial"/>
                <w:color w:val="000000"/>
                <w:sz w:val="20"/>
                <w:szCs w:val="20"/>
              </w:rPr>
            </w:pPr>
            <w:r w:rsidRPr="009F103C">
              <w:rPr>
                <w:rFonts w:cs="Arial"/>
                <w:color w:val="000000"/>
                <w:sz w:val="20"/>
                <w:szCs w:val="20"/>
              </w:rPr>
              <w:t>3</w:t>
            </w:r>
          </w:p>
        </w:tc>
        <w:tc>
          <w:tcPr>
            <w:tcW w:w="1160" w:type="dxa"/>
            <w:tcBorders>
              <w:top w:val="nil"/>
              <w:left w:val="nil"/>
              <w:bottom w:val="single" w:sz="8" w:space="0" w:color="auto"/>
              <w:right w:val="single" w:sz="8" w:space="0" w:color="auto"/>
            </w:tcBorders>
            <w:shd w:val="clear" w:color="auto" w:fill="auto"/>
            <w:noWrap/>
            <w:vAlign w:val="center"/>
            <w:hideMark/>
          </w:tcPr>
          <w:p w:rsidR="009F103C" w:rsidRPr="009F103C" w:rsidRDefault="009F103C" w:rsidP="009F103C">
            <w:pPr>
              <w:jc w:val="center"/>
              <w:rPr>
                <w:rFonts w:cs="Arial"/>
                <w:color w:val="000000"/>
                <w:sz w:val="20"/>
                <w:szCs w:val="20"/>
              </w:rPr>
            </w:pPr>
            <w:r w:rsidRPr="009F103C">
              <w:rPr>
                <w:rFonts w:cs="Arial"/>
                <w:color w:val="000000"/>
                <w:sz w:val="20"/>
                <w:szCs w:val="20"/>
              </w:rPr>
              <w:t>51</w:t>
            </w:r>
          </w:p>
        </w:tc>
      </w:tr>
      <w:tr w:rsidR="009F103C" w:rsidRPr="009F103C" w:rsidTr="009F103C">
        <w:trPr>
          <w:trHeight w:val="315"/>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rsidR="009F103C" w:rsidRPr="009F103C" w:rsidRDefault="009F103C" w:rsidP="009F103C">
            <w:pPr>
              <w:jc w:val="center"/>
              <w:rPr>
                <w:rFonts w:cs="Arial"/>
                <w:color w:val="000000"/>
                <w:sz w:val="20"/>
                <w:szCs w:val="20"/>
              </w:rPr>
            </w:pPr>
            <w:r w:rsidRPr="009F103C">
              <w:rPr>
                <w:rFonts w:cs="Arial"/>
                <w:color w:val="000000"/>
                <w:sz w:val="20"/>
                <w:szCs w:val="20"/>
              </w:rPr>
              <w:t>4</w:t>
            </w:r>
          </w:p>
        </w:tc>
        <w:tc>
          <w:tcPr>
            <w:tcW w:w="1160" w:type="dxa"/>
            <w:tcBorders>
              <w:top w:val="nil"/>
              <w:left w:val="nil"/>
              <w:bottom w:val="single" w:sz="8" w:space="0" w:color="auto"/>
              <w:right w:val="single" w:sz="8" w:space="0" w:color="auto"/>
            </w:tcBorders>
            <w:shd w:val="clear" w:color="auto" w:fill="auto"/>
            <w:noWrap/>
            <w:vAlign w:val="center"/>
            <w:hideMark/>
          </w:tcPr>
          <w:p w:rsidR="009F103C" w:rsidRPr="009F103C" w:rsidRDefault="009F103C" w:rsidP="009F103C">
            <w:pPr>
              <w:jc w:val="center"/>
              <w:rPr>
                <w:rFonts w:cs="Arial"/>
                <w:color w:val="000000"/>
                <w:sz w:val="20"/>
                <w:szCs w:val="20"/>
              </w:rPr>
            </w:pPr>
            <w:r w:rsidRPr="009F103C">
              <w:rPr>
                <w:rFonts w:cs="Arial"/>
                <w:color w:val="000000"/>
                <w:sz w:val="20"/>
                <w:szCs w:val="20"/>
              </w:rPr>
              <w:t>326</w:t>
            </w:r>
          </w:p>
        </w:tc>
      </w:tr>
    </w:tbl>
    <w:p w:rsidR="0049061E" w:rsidRDefault="0049061E" w:rsidP="00490D7A"/>
    <w:p w:rsidR="008A059D" w:rsidRDefault="008A059D">
      <w:r>
        <w:t xml:space="preserve">Using the Council’s </w:t>
      </w:r>
      <w:r w:rsidR="009502C4">
        <w:t>Children Centre areas</w:t>
      </w:r>
      <w:r>
        <w:t xml:space="preserve"> for identification purposes, each </w:t>
      </w:r>
      <w:r w:rsidR="009502C4">
        <w:t xml:space="preserve">LSOA </w:t>
      </w:r>
      <w:r>
        <w:t xml:space="preserve">is located </w:t>
      </w:r>
      <w:r w:rsidR="009502C4">
        <w:t>as follows</w:t>
      </w:r>
      <w:r>
        <w:t>:</w:t>
      </w:r>
    </w:p>
    <w:p w:rsidR="009502C4" w:rsidRDefault="009502C4">
      <w:r>
        <w:t xml:space="preserve"> </w:t>
      </w:r>
    </w:p>
    <w:p w:rsidR="009502C4" w:rsidRDefault="009502C4" w:rsidP="009502C4">
      <w:pPr>
        <w:pStyle w:val="ListParagraph"/>
        <w:numPr>
          <w:ilvl w:val="0"/>
          <w:numId w:val="6"/>
        </w:numPr>
      </w:pPr>
      <w:r>
        <w:t>IDACI ranking 1 – Twerton 1 LSOA</w:t>
      </w:r>
    </w:p>
    <w:p w:rsidR="009502C4" w:rsidRDefault="009502C4" w:rsidP="009502C4"/>
    <w:p w:rsidR="009502C4" w:rsidRDefault="009502C4" w:rsidP="009502C4">
      <w:pPr>
        <w:pStyle w:val="ListParagraph"/>
        <w:numPr>
          <w:ilvl w:val="0"/>
          <w:numId w:val="6"/>
        </w:numPr>
      </w:pPr>
      <w:r>
        <w:t>IDACI ranking 2 – Twerton 3 LSOAs, St Martins 1</w:t>
      </w:r>
    </w:p>
    <w:p w:rsidR="009502C4" w:rsidRDefault="009502C4" w:rsidP="009502C4">
      <w:pPr>
        <w:pStyle w:val="ListParagraph"/>
      </w:pPr>
    </w:p>
    <w:p w:rsidR="009502C4" w:rsidRDefault="009502C4" w:rsidP="009502C4">
      <w:pPr>
        <w:pStyle w:val="ListParagraph"/>
        <w:numPr>
          <w:ilvl w:val="0"/>
          <w:numId w:val="6"/>
        </w:numPr>
      </w:pPr>
      <w:r>
        <w:t>IDACI ranking 3 – Parkside 2 LSOAs, Twerton 1</w:t>
      </w:r>
    </w:p>
    <w:p w:rsidR="009502C4" w:rsidRDefault="009502C4" w:rsidP="009502C4">
      <w:pPr>
        <w:pStyle w:val="ListParagraph"/>
      </w:pPr>
    </w:p>
    <w:p w:rsidR="009502C4" w:rsidRDefault="009502C4" w:rsidP="009502C4">
      <w:pPr>
        <w:pStyle w:val="ListParagraph"/>
        <w:numPr>
          <w:ilvl w:val="0"/>
          <w:numId w:val="6"/>
        </w:numPr>
      </w:pPr>
      <w:r>
        <w:t xml:space="preserve">IDACI ranking 4 – Radstock 3 LSOAs, Keynsham 2, </w:t>
      </w:r>
      <w:r w:rsidR="00F475B6">
        <w:t>Peasedown 1, St Martins 1, Weston 1</w:t>
      </w:r>
    </w:p>
    <w:p w:rsidR="00F475B6" w:rsidRDefault="00F475B6" w:rsidP="00F475B6">
      <w:pPr>
        <w:pStyle w:val="ListParagraph"/>
      </w:pPr>
    </w:p>
    <w:p w:rsidR="00F475B6" w:rsidRDefault="00F475B6" w:rsidP="00F475B6">
      <w:r>
        <w:t xml:space="preserve">Finally the EYPP will continue </w:t>
      </w:r>
      <w:r w:rsidR="000304BB">
        <w:t xml:space="preserve">to be paid per child </w:t>
      </w:r>
      <w:r>
        <w:t>under exact</w:t>
      </w:r>
      <w:r w:rsidR="000304BB">
        <w:t xml:space="preserve">ly the </w:t>
      </w:r>
      <w:r>
        <w:t xml:space="preserve">same criteria </w:t>
      </w:r>
      <w:r w:rsidR="000304BB">
        <w:t xml:space="preserve">already in place, </w:t>
      </w:r>
      <w:r>
        <w:t xml:space="preserve">for all children accessing their 3+ EYE </w:t>
      </w:r>
      <w:r w:rsidR="000304BB">
        <w:t>(</w:t>
      </w:r>
      <w:r>
        <w:t>53p an hour.</w:t>
      </w:r>
      <w:r w:rsidR="000304BB">
        <w:t>)</w:t>
      </w:r>
      <w:r>
        <w:t xml:space="preserve"> </w:t>
      </w:r>
    </w:p>
    <w:p w:rsidR="00F475B6" w:rsidRDefault="00F475B6" w:rsidP="00F475B6"/>
    <w:p w:rsidR="00F475B6" w:rsidRDefault="00F475B6" w:rsidP="00F475B6">
      <w:pPr>
        <w:rPr>
          <w:b/>
        </w:rPr>
      </w:pPr>
      <w:r w:rsidRPr="00F475B6">
        <w:rPr>
          <w:b/>
        </w:rPr>
        <w:t xml:space="preserve">Summary </w:t>
      </w:r>
    </w:p>
    <w:p w:rsidR="00F475B6" w:rsidRDefault="00F475B6" w:rsidP="00F475B6">
      <w:pPr>
        <w:rPr>
          <w:b/>
        </w:rPr>
      </w:pPr>
    </w:p>
    <w:p w:rsidR="004E3745" w:rsidRDefault="00F475B6" w:rsidP="00F475B6">
      <w:r>
        <w:t>The new funding rates</w:t>
      </w:r>
      <w:r w:rsidR="004E3745">
        <w:t xml:space="preserve"> </w:t>
      </w:r>
      <w:r w:rsidR="008C6CAC">
        <w:t>f</w:t>
      </w:r>
      <w:r w:rsidR="004E3745">
        <w:t xml:space="preserve">or both 2 </w:t>
      </w:r>
      <w:r w:rsidR="008C6CAC">
        <w:t xml:space="preserve">year old </w:t>
      </w:r>
      <w:r w:rsidR="004E3745">
        <w:t xml:space="preserve">and </w:t>
      </w:r>
      <w:r w:rsidR="008C6CAC">
        <w:t>3</w:t>
      </w:r>
      <w:r w:rsidR="004E3745">
        <w:t>+</w:t>
      </w:r>
      <w:r>
        <w:t xml:space="preserve"> </w:t>
      </w:r>
      <w:r w:rsidR="008C6CAC">
        <w:t xml:space="preserve">children </w:t>
      </w:r>
      <w:r w:rsidR="004E3745">
        <w:t xml:space="preserve">combined with </w:t>
      </w:r>
      <w:r w:rsidR="008C6CAC">
        <w:t xml:space="preserve">the </w:t>
      </w:r>
      <w:r>
        <w:t>revised formula provide a financial uplift</w:t>
      </w:r>
      <w:r w:rsidR="004E3745">
        <w:t xml:space="preserve"> for all Early Years providers. Funding </w:t>
      </w:r>
      <w:r w:rsidR="004E3745">
        <w:lastRenderedPageBreak/>
        <w:t xml:space="preserve">increases </w:t>
      </w:r>
      <w:r w:rsidR="008A059D">
        <w:t xml:space="preserve">could </w:t>
      </w:r>
      <w:r w:rsidR="004E3745">
        <w:t>range between 6</w:t>
      </w:r>
      <w:r w:rsidR="008A059D">
        <w:t>%</w:t>
      </w:r>
      <w:r w:rsidR="004E3745">
        <w:t xml:space="preserve"> and 10%</w:t>
      </w:r>
      <w:r w:rsidR="008A059D">
        <w:t xml:space="preserve">. For </w:t>
      </w:r>
      <w:r w:rsidR="004E3745">
        <w:t>a cohort of children aged 3+</w:t>
      </w:r>
      <w:r w:rsidR="008A059D">
        <w:t>,</w:t>
      </w:r>
      <w:r w:rsidR="004E3745">
        <w:t xml:space="preserve"> </w:t>
      </w:r>
      <w:r w:rsidR="008A059D">
        <w:t xml:space="preserve">Early Years providers could </w:t>
      </w:r>
      <w:r w:rsidR="004E3745">
        <w:t>attract a maximum hourly rate of £5.09</w:t>
      </w:r>
      <w:r w:rsidR="008A059D">
        <w:t xml:space="preserve">. </w:t>
      </w:r>
    </w:p>
    <w:p w:rsidR="004E3745" w:rsidRDefault="004E3745" w:rsidP="00F475B6"/>
    <w:p w:rsidR="00770B74" w:rsidRDefault="004E3745" w:rsidP="00F475B6">
      <w:r>
        <w:t xml:space="preserve">You are now asked </w:t>
      </w:r>
      <w:r w:rsidR="004545AC">
        <w:t xml:space="preserve">to respond using the online response process. Please </w:t>
      </w:r>
      <w:r w:rsidR="00770B74">
        <w:t xml:space="preserve">note that we may not be able to reply to each individual </w:t>
      </w:r>
      <w:r w:rsidR="008A059D">
        <w:t xml:space="preserve">response </w:t>
      </w:r>
      <w:r w:rsidR="00770B74">
        <w:t>received although we will provide a summary of responses.</w:t>
      </w:r>
    </w:p>
    <w:p w:rsidR="0050270D" w:rsidRDefault="0050270D" w:rsidP="00F475B6"/>
    <w:p w:rsidR="0050270D" w:rsidRDefault="0050270D" w:rsidP="0050270D">
      <w:pPr>
        <w:pBdr>
          <w:top w:val="single" w:sz="4" w:space="1" w:color="auto"/>
          <w:left w:val="single" w:sz="4" w:space="4" w:color="auto"/>
          <w:bottom w:val="single" w:sz="4" w:space="1" w:color="auto"/>
          <w:right w:val="single" w:sz="4" w:space="4" w:color="auto"/>
        </w:pBdr>
        <w:shd w:val="clear" w:color="auto" w:fill="E5B8B7" w:themeFill="accent2" w:themeFillTint="66"/>
      </w:pPr>
      <w:r>
        <w:t>The link to the online response system is as follows:</w:t>
      </w:r>
    </w:p>
    <w:p w:rsidR="0050270D" w:rsidRDefault="0050270D" w:rsidP="0050270D">
      <w:pPr>
        <w:pBdr>
          <w:top w:val="single" w:sz="4" w:space="1" w:color="auto"/>
          <w:left w:val="single" w:sz="4" w:space="4" w:color="auto"/>
          <w:bottom w:val="single" w:sz="4" w:space="1" w:color="auto"/>
          <w:right w:val="single" w:sz="4" w:space="4" w:color="auto"/>
        </w:pBdr>
        <w:shd w:val="clear" w:color="auto" w:fill="E5B8B7" w:themeFill="accent2" w:themeFillTint="66"/>
      </w:pPr>
    </w:p>
    <w:p w:rsidR="0050270D" w:rsidRDefault="00D41464" w:rsidP="0050270D">
      <w:pPr>
        <w:pBdr>
          <w:top w:val="single" w:sz="4" w:space="1" w:color="auto"/>
          <w:left w:val="single" w:sz="4" w:space="4" w:color="auto"/>
          <w:bottom w:val="single" w:sz="4" w:space="1" w:color="auto"/>
          <w:right w:val="single" w:sz="4" w:space="4" w:color="auto"/>
        </w:pBdr>
        <w:shd w:val="clear" w:color="auto" w:fill="E5B8B7" w:themeFill="accent2" w:themeFillTint="66"/>
      </w:pPr>
      <w:hyperlink r:id="rId9" w:history="1">
        <w:r w:rsidR="0050270D" w:rsidRPr="00820423">
          <w:rPr>
            <w:rStyle w:val="Hyperlink"/>
          </w:rPr>
          <w:t>http://www.bathnes.gov.uk/consultations/early-years-funding-formula-consultation</w:t>
        </w:r>
      </w:hyperlink>
    </w:p>
    <w:p w:rsidR="0050270D" w:rsidRDefault="0050270D" w:rsidP="0050270D">
      <w:pPr>
        <w:pBdr>
          <w:top w:val="single" w:sz="4" w:space="1" w:color="auto"/>
          <w:left w:val="single" w:sz="4" w:space="4" w:color="auto"/>
          <w:bottom w:val="single" w:sz="4" w:space="1" w:color="auto"/>
          <w:right w:val="single" w:sz="4" w:space="4" w:color="auto"/>
        </w:pBdr>
        <w:shd w:val="clear" w:color="auto" w:fill="E5B8B7" w:themeFill="accent2" w:themeFillTint="66"/>
      </w:pPr>
    </w:p>
    <w:p w:rsidR="00770B74" w:rsidRDefault="00770B74" w:rsidP="00F475B6"/>
    <w:p w:rsidR="00770B74" w:rsidRDefault="00770B74" w:rsidP="00F475B6">
      <w:r>
        <w:t xml:space="preserve">Philip Frankland </w:t>
      </w:r>
    </w:p>
    <w:p w:rsidR="00F475B6" w:rsidRPr="00F475B6" w:rsidRDefault="00770B74" w:rsidP="00F475B6">
      <w:r>
        <w:t>January 2017</w:t>
      </w:r>
      <w:r w:rsidR="004E3745">
        <w:t xml:space="preserve">  </w:t>
      </w:r>
    </w:p>
    <w:p w:rsidR="00F01634" w:rsidRDefault="00F01634"/>
    <w:p w:rsidR="001C6132" w:rsidRPr="00770B74" w:rsidRDefault="00770B74">
      <w:pPr>
        <w:rPr>
          <w:b/>
        </w:rPr>
      </w:pPr>
      <w:r w:rsidRPr="00770B74">
        <w:rPr>
          <w:b/>
        </w:rPr>
        <w:t>Background information links</w:t>
      </w:r>
    </w:p>
    <w:p w:rsidR="00A34D41" w:rsidRPr="00770B74" w:rsidRDefault="004A741E">
      <w:pPr>
        <w:rPr>
          <w:b/>
        </w:rPr>
      </w:pPr>
      <w:r w:rsidRPr="00770B74">
        <w:rPr>
          <w:b/>
        </w:rPr>
        <w:t xml:space="preserve"> </w:t>
      </w:r>
    </w:p>
    <w:p w:rsidR="00A34D41" w:rsidRDefault="00770B74">
      <w:r>
        <w:t xml:space="preserve">Early Years Funding: Government Consultation Response </w:t>
      </w:r>
      <w:hyperlink r:id="rId10" w:history="1">
        <w:r w:rsidRPr="00C5012D">
          <w:rPr>
            <w:rStyle w:val="Hyperlink"/>
          </w:rPr>
          <w:t>https://www.gov.uk/government/consultations/early-years-funding-changes-to-funding-for-3-and-4-year-olds</w:t>
        </w:r>
      </w:hyperlink>
    </w:p>
    <w:p w:rsidR="00770B74" w:rsidRDefault="00770B74"/>
    <w:p w:rsidR="00770B74" w:rsidRDefault="00770B74">
      <w:r w:rsidRPr="00770B74">
        <w:t>Dedicated schools grant (DSG): 2017 to 2018</w:t>
      </w:r>
      <w:r>
        <w:t xml:space="preserve"> including Early Years Funding</w:t>
      </w:r>
    </w:p>
    <w:p w:rsidR="00770B74" w:rsidRDefault="00D41464">
      <w:hyperlink r:id="rId11" w:history="1">
        <w:r w:rsidR="00770B74" w:rsidRPr="00C5012D">
          <w:rPr>
            <w:rStyle w:val="Hyperlink"/>
          </w:rPr>
          <w:t>https://www.gov.uk/government/publications/dedicated-schools-grant-dsg-2017-to-2018</w:t>
        </w:r>
      </w:hyperlink>
    </w:p>
    <w:p w:rsidR="00770B74" w:rsidRDefault="00770B74"/>
    <w:p w:rsidR="002813D2" w:rsidRDefault="002813D2"/>
    <w:sectPr w:rsidR="002813D2">
      <w:head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1F2" w:rsidRDefault="007C41F2" w:rsidP="007C41F2">
      <w:r>
        <w:separator/>
      </w:r>
    </w:p>
  </w:endnote>
  <w:endnote w:type="continuationSeparator" w:id="0">
    <w:p w:rsidR="007C41F2" w:rsidRDefault="007C41F2" w:rsidP="007C4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1F2" w:rsidRDefault="007C41F2" w:rsidP="007C41F2">
      <w:r>
        <w:separator/>
      </w:r>
    </w:p>
  </w:footnote>
  <w:footnote w:type="continuationSeparator" w:id="0">
    <w:p w:rsidR="007C41F2" w:rsidRDefault="007C41F2" w:rsidP="007C4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A32" w:rsidRDefault="00D41464">
    <w:pPr>
      <w:pStyle w:val="Header"/>
    </w:pPr>
    <w:r w:rsidRPr="00D41464">
      <w:rPr>
        <w:rFonts w:ascii="Times New Roman" w:hAnsi="Times New Roman"/>
        <w:noProof/>
      </w:rPr>
      <mc:AlternateContent>
        <mc:Choice Requires="wps">
          <w:drawing>
            <wp:anchor distT="0" distB="0" distL="114300" distR="114300" simplePos="0" relativeHeight="251659264" behindDoc="0" locked="0" layoutInCell="1" allowOverlap="1" wp14:anchorId="21568A8F" wp14:editId="100E6093">
              <wp:simplePos x="0" y="0"/>
              <wp:positionH relativeFrom="column">
                <wp:posOffset>4780915</wp:posOffset>
              </wp:positionH>
              <wp:positionV relativeFrom="paragraph">
                <wp:posOffset>-143510</wp:posOffset>
              </wp:positionV>
              <wp:extent cx="590550" cy="41910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419100"/>
                      </a:xfrm>
                      <a:prstGeom prst="rect">
                        <a:avLst/>
                      </a:prstGeom>
                      <a:solidFill>
                        <a:srgbClr val="FFFFFF"/>
                      </a:solidFill>
                      <a:ln w="9525">
                        <a:solidFill>
                          <a:sysClr val="windowText" lastClr="000000">
                            <a:lumMod val="100000"/>
                            <a:lumOff val="0"/>
                          </a:sysClr>
                        </a:solidFill>
                        <a:miter lim="800000"/>
                        <a:headEnd/>
                        <a:tailEnd/>
                      </a:ln>
                    </wps:spPr>
                    <wps:txbx>
                      <w:txbxContent>
                        <w:p w:rsidR="00D41464" w:rsidRDefault="00D41464" w:rsidP="00D41464">
                          <w:pPr>
                            <w:jc w:val="center"/>
                            <w:rPr>
                              <w:rFonts w:cs="Arial"/>
                              <w:sz w:val="40"/>
                              <w:szCs w:val="40"/>
                            </w:rPr>
                          </w:pPr>
                          <w:r>
                            <w:rPr>
                              <w:rFonts w:cs="Arial"/>
                              <w:sz w:val="40"/>
                              <w:szCs w:val="40"/>
                            </w:rPr>
                            <w:t>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6.45pt;margin-top:-11.3pt;width:46.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">
              <v:textbox>
                <w:txbxContent>
                  <w:p w:rsidR="00D41464" w:rsidRDefault="00D41464" w:rsidP="00D41464">
                    <w:pPr>
                      <w:jc w:val="center"/>
                      <w:rPr>
                        <w:rFonts w:cs="Arial"/>
                        <w:sz w:val="40"/>
                        <w:szCs w:val="40"/>
                      </w:rPr>
                    </w:pPr>
                    <w:r>
                      <w:rPr>
                        <w:rFonts w:cs="Arial"/>
                        <w:sz w:val="40"/>
                        <w:szCs w:val="40"/>
                      </w:rPr>
                      <w:t>5.2</w:t>
                    </w:r>
                  </w:p>
                </w:txbxContent>
              </v:textbox>
            </v:shape>
          </w:pict>
        </mc:Fallback>
      </mc:AlternateContent>
    </w:r>
    <w:r w:rsidR="00FA0A32">
      <w:t>Appendix 1</w:t>
    </w:r>
  </w:p>
  <w:p w:rsidR="00FA0A32" w:rsidRDefault="00FA0A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F2B13"/>
    <w:multiLevelType w:val="hybridMultilevel"/>
    <w:tmpl w:val="5F70A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5E5219A"/>
    <w:multiLevelType w:val="hybridMultilevel"/>
    <w:tmpl w:val="2C8C6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47D197D"/>
    <w:multiLevelType w:val="hybridMultilevel"/>
    <w:tmpl w:val="31C483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39634D6"/>
    <w:multiLevelType w:val="hybridMultilevel"/>
    <w:tmpl w:val="E25C9A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D646E3"/>
    <w:multiLevelType w:val="hybridMultilevel"/>
    <w:tmpl w:val="7084F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9AC0D03"/>
    <w:multiLevelType w:val="hybridMultilevel"/>
    <w:tmpl w:val="D458BB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41"/>
    <w:rsid w:val="000155A1"/>
    <w:rsid w:val="000304BB"/>
    <w:rsid w:val="00044172"/>
    <w:rsid w:val="00081F2B"/>
    <w:rsid w:val="00087A12"/>
    <w:rsid w:val="00113939"/>
    <w:rsid w:val="001B095F"/>
    <w:rsid w:val="001C6132"/>
    <w:rsid w:val="00244615"/>
    <w:rsid w:val="002813D2"/>
    <w:rsid w:val="002A214A"/>
    <w:rsid w:val="002C1107"/>
    <w:rsid w:val="00355A60"/>
    <w:rsid w:val="00392652"/>
    <w:rsid w:val="004545AC"/>
    <w:rsid w:val="00465579"/>
    <w:rsid w:val="004863EA"/>
    <w:rsid w:val="0049061E"/>
    <w:rsid w:val="00490D7A"/>
    <w:rsid w:val="00495940"/>
    <w:rsid w:val="004A741E"/>
    <w:rsid w:val="004E3745"/>
    <w:rsid w:val="0050270D"/>
    <w:rsid w:val="0060586C"/>
    <w:rsid w:val="00644248"/>
    <w:rsid w:val="00681096"/>
    <w:rsid w:val="006E5632"/>
    <w:rsid w:val="00770B74"/>
    <w:rsid w:val="007C41F2"/>
    <w:rsid w:val="007C5BC2"/>
    <w:rsid w:val="008A059D"/>
    <w:rsid w:val="008C6CAC"/>
    <w:rsid w:val="00927833"/>
    <w:rsid w:val="00931323"/>
    <w:rsid w:val="00940D60"/>
    <w:rsid w:val="009502C4"/>
    <w:rsid w:val="009D75B6"/>
    <w:rsid w:val="009F103C"/>
    <w:rsid w:val="009F5F1D"/>
    <w:rsid w:val="00A34D41"/>
    <w:rsid w:val="00A47B3E"/>
    <w:rsid w:val="00B570FD"/>
    <w:rsid w:val="00B61F9A"/>
    <w:rsid w:val="00D41464"/>
    <w:rsid w:val="00D63C55"/>
    <w:rsid w:val="00D866B1"/>
    <w:rsid w:val="00D9788E"/>
    <w:rsid w:val="00E13A54"/>
    <w:rsid w:val="00E21D54"/>
    <w:rsid w:val="00EE352F"/>
    <w:rsid w:val="00F01634"/>
    <w:rsid w:val="00F475B6"/>
    <w:rsid w:val="00FA0A32"/>
    <w:rsid w:val="00FB3050"/>
    <w:rsid w:val="00FB5E35"/>
    <w:rsid w:val="00FC2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1F2"/>
    <w:pPr>
      <w:tabs>
        <w:tab w:val="center" w:pos="4513"/>
        <w:tab w:val="right" w:pos="9026"/>
      </w:tabs>
    </w:pPr>
  </w:style>
  <w:style w:type="character" w:customStyle="1" w:styleId="HeaderChar">
    <w:name w:val="Header Char"/>
    <w:basedOn w:val="DefaultParagraphFont"/>
    <w:link w:val="Header"/>
    <w:uiPriority w:val="99"/>
    <w:rsid w:val="007C41F2"/>
  </w:style>
  <w:style w:type="paragraph" w:styleId="Footer">
    <w:name w:val="footer"/>
    <w:basedOn w:val="Normal"/>
    <w:link w:val="FooterChar"/>
    <w:uiPriority w:val="99"/>
    <w:unhideWhenUsed/>
    <w:rsid w:val="007C41F2"/>
    <w:pPr>
      <w:tabs>
        <w:tab w:val="center" w:pos="4513"/>
        <w:tab w:val="right" w:pos="9026"/>
      </w:tabs>
    </w:pPr>
  </w:style>
  <w:style w:type="character" w:customStyle="1" w:styleId="FooterChar">
    <w:name w:val="Footer Char"/>
    <w:basedOn w:val="DefaultParagraphFont"/>
    <w:link w:val="Footer"/>
    <w:uiPriority w:val="99"/>
    <w:rsid w:val="007C41F2"/>
  </w:style>
  <w:style w:type="paragraph" w:styleId="ListParagraph">
    <w:name w:val="List Paragraph"/>
    <w:basedOn w:val="Normal"/>
    <w:uiPriority w:val="34"/>
    <w:qFormat/>
    <w:rsid w:val="00B61F9A"/>
    <w:pPr>
      <w:ind w:left="720"/>
      <w:contextualSpacing/>
    </w:pPr>
  </w:style>
  <w:style w:type="table" w:styleId="TableGrid">
    <w:name w:val="Table Grid"/>
    <w:basedOn w:val="TableNormal"/>
    <w:uiPriority w:val="59"/>
    <w:rsid w:val="00392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0B74"/>
    <w:rPr>
      <w:color w:val="0000FF" w:themeColor="hyperlink"/>
      <w:u w:val="single"/>
    </w:rPr>
  </w:style>
  <w:style w:type="paragraph" w:styleId="BalloonText">
    <w:name w:val="Balloon Text"/>
    <w:basedOn w:val="Normal"/>
    <w:link w:val="BalloonTextChar"/>
    <w:uiPriority w:val="99"/>
    <w:semiHidden/>
    <w:unhideWhenUsed/>
    <w:rsid w:val="00FA0A32"/>
    <w:rPr>
      <w:rFonts w:ascii="Tahoma" w:hAnsi="Tahoma" w:cs="Tahoma"/>
      <w:sz w:val="16"/>
      <w:szCs w:val="16"/>
    </w:rPr>
  </w:style>
  <w:style w:type="character" w:customStyle="1" w:styleId="BalloonTextChar">
    <w:name w:val="Balloon Text Char"/>
    <w:basedOn w:val="DefaultParagraphFont"/>
    <w:link w:val="BalloonText"/>
    <w:uiPriority w:val="99"/>
    <w:semiHidden/>
    <w:rsid w:val="00FA0A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1F2"/>
    <w:pPr>
      <w:tabs>
        <w:tab w:val="center" w:pos="4513"/>
        <w:tab w:val="right" w:pos="9026"/>
      </w:tabs>
    </w:pPr>
  </w:style>
  <w:style w:type="character" w:customStyle="1" w:styleId="HeaderChar">
    <w:name w:val="Header Char"/>
    <w:basedOn w:val="DefaultParagraphFont"/>
    <w:link w:val="Header"/>
    <w:uiPriority w:val="99"/>
    <w:rsid w:val="007C41F2"/>
  </w:style>
  <w:style w:type="paragraph" w:styleId="Footer">
    <w:name w:val="footer"/>
    <w:basedOn w:val="Normal"/>
    <w:link w:val="FooterChar"/>
    <w:uiPriority w:val="99"/>
    <w:unhideWhenUsed/>
    <w:rsid w:val="007C41F2"/>
    <w:pPr>
      <w:tabs>
        <w:tab w:val="center" w:pos="4513"/>
        <w:tab w:val="right" w:pos="9026"/>
      </w:tabs>
    </w:pPr>
  </w:style>
  <w:style w:type="character" w:customStyle="1" w:styleId="FooterChar">
    <w:name w:val="Footer Char"/>
    <w:basedOn w:val="DefaultParagraphFont"/>
    <w:link w:val="Footer"/>
    <w:uiPriority w:val="99"/>
    <w:rsid w:val="007C41F2"/>
  </w:style>
  <w:style w:type="paragraph" w:styleId="ListParagraph">
    <w:name w:val="List Paragraph"/>
    <w:basedOn w:val="Normal"/>
    <w:uiPriority w:val="34"/>
    <w:qFormat/>
    <w:rsid w:val="00B61F9A"/>
    <w:pPr>
      <w:ind w:left="720"/>
      <w:contextualSpacing/>
    </w:pPr>
  </w:style>
  <w:style w:type="table" w:styleId="TableGrid">
    <w:name w:val="Table Grid"/>
    <w:basedOn w:val="TableNormal"/>
    <w:uiPriority w:val="59"/>
    <w:rsid w:val="00392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0B74"/>
    <w:rPr>
      <w:color w:val="0000FF" w:themeColor="hyperlink"/>
      <w:u w:val="single"/>
    </w:rPr>
  </w:style>
  <w:style w:type="paragraph" w:styleId="BalloonText">
    <w:name w:val="Balloon Text"/>
    <w:basedOn w:val="Normal"/>
    <w:link w:val="BalloonTextChar"/>
    <w:uiPriority w:val="99"/>
    <w:semiHidden/>
    <w:unhideWhenUsed/>
    <w:rsid w:val="00FA0A32"/>
    <w:rPr>
      <w:rFonts w:ascii="Tahoma" w:hAnsi="Tahoma" w:cs="Tahoma"/>
      <w:sz w:val="16"/>
      <w:szCs w:val="16"/>
    </w:rPr>
  </w:style>
  <w:style w:type="character" w:customStyle="1" w:styleId="BalloonTextChar">
    <w:name w:val="Balloon Text Char"/>
    <w:basedOn w:val="DefaultParagraphFont"/>
    <w:link w:val="BalloonText"/>
    <w:uiPriority w:val="99"/>
    <w:semiHidden/>
    <w:rsid w:val="00FA0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7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dedicated-schools-grant-dsg-2017-to-2018" TargetMode="External"/><Relationship Id="rId5" Type="http://schemas.openxmlformats.org/officeDocument/2006/relationships/settings" Target="settings.xml"/><Relationship Id="rId10" Type="http://schemas.openxmlformats.org/officeDocument/2006/relationships/hyperlink" Target="https://www.gov.uk/government/consultations/early-years-funding-changes-to-funding-for-3-and-4-year-olds" TargetMode="External"/><Relationship Id="rId4" Type="http://schemas.microsoft.com/office/2007/relationships/stylesWithEffects" Target="stylesWithEffects.xml"/><Relationship Id="rId9" Type="http://schemas.openxmlformats.org/officeDocument/2006/relationships/hyperlink" Target="http://www.bathnes.gov.uk/consultations/early-years-funding-formula-consult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F9C8D-ABCB-4E94-BA40-CCD6049F5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4EB933C</Template>
  <TotalTime>1</TotalTime>
  <Pages>5</Pages>
  <Words>1483</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Frankland</dc:creator>
  <cp:lastModifiedBy>Marie Lane</cp:lastModifiedBy>
  <cp:revision>3</cp:revision>
  <dcterms:created xsi:type="dcterms:W3CDTF">2017-03-10T16:30:00Z</dcterms:created>
  <dcterms:modified xsi:type="dcterms:W3CDTF">2017-03-14T09:15:00Z</dcterms:modified>
</cp:coreProperties>
</file>