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59" w:rsidRDefault="00E85015" w:rsidP="00E85015">
      <w:pPr>
        <w:rPr>
          <w:b/>
          <w:sz w:val="24"/>
          <w:szCs w:val="24"/>
          <w:u w:val="single"/>
        </w:rPr>
      </w:pPr>
      <w:r>
        <w:t xml:space="preserve">                  </w:t>
      </w:r>
    </w:p>
    <w:p w:rsidR="007C32E6" w:rsidRDefault="003D7234" w:rsidP="00E85015">
      <w:pPr>
        <w:rPr>
          <w:b/>
          <w:sz w:val="24"/>
          <w:szCs w:val="24"/>
          <w:u w:val="single"/>
        </w:rPr>
      </w:pPr>
      <w:r w:rsidRPr="003D7234">
        <w:rPr>
          <w:b/>
          <w:noProof/>
          <w:sz w:val="24"/>
          <w:szCs w:val="24"/>
          <w:u w:val="single"/>
          <w:lang w:eastAsia="en-GB"/>
        </w:rPr>
        <mc:AlternateContent>
          <mc:Choice Requires="wps">
            <w:drawing>
              <wp:anchor distT="0" distB="0" distL="114300" distR="114300" simplePos="0" relativeHeight="251659264" behindDoc="0" locked="0" layoutInCell="1" allowOverlap="1" wp14:anchorId="673A615C" wp14:editId="45B6049A">
                <wp:simplePos x="0" y="0"/>
                <wp:positionH relativeFrom="column">
                  <wp:posOffset>5019675</wp:posOffset>
                </wp:positionH>
                <wp:positionV relativeFrom="paragraph">
                  <wp:posOffset>211455</wp:posOffset>
                </wp:positionV>
                <wp:extent cx="56197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38150"/>
                        </a:xfrm>
                        <a:prstGeom prst="rect">
                          <a:avLst/>
                        </a:prstGeom>
                        <a:solidFill>
                          <a:srgbClr val="FFFFFF"/>
                        </a:solidFill>
                        <a:ln w="9525">
                          <a:solidFill>
                            <a:srgbClr val="000000"/>
                          </a:solidFill>
                          <a:miter lim="800000"/>
                          <a:headEnd/>
                          <a:tailEnd/>
                        </a:ln>
                      </wps:spPr>
                      <wps:txbx>
                        <w:txbxContent>
                          <w:p w:rsidR="003D7234" w:rsidRPr="003D7234" w:rsidRDefault="003D7234" w:rsidP="003D7234">
                            <w:pPr>
                              <w:jc w:val="center"/>
                              <w:rPr>
                                <w:rFonts w:ascii="Arial" w:hAnsi="Arial" w:cs="Arial"/>
                                <w:b/>
                                <w:sz w:val="48"/>
                                <w:szCs w:val="48"/>
                              </w:rPr>
                            </w:pPr>
                            <w:r w:rsidRPr="003D7234">
                              <w:rPr>
                                <w:rFonts w:ascii="Arial" w:hAnsi="Arial" w:cs="Arial"/>
                                <w:b/>
                                <w:sz w:val="48"/>
                                <w:szCs w:val="4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25pt;margin-top:16.65pt;width:44.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">
                <v:textbox>
                  <w:txbxContent>
                    <w:p w:rsidR="003D7234" w:rsidRPr="003D7234" w:rsidRDefault="003D7234" w:rsidP="003D7234">
                      <w:pPr>
                        <w:jc w:val="center"/>
                        <w:rPr>
                          <w:rFonts w:ascii="Arial" w:hAnsi="Arial" w:cs="Arial"/>
                          <w:b/>
                          <w:sz w:val="48"/>
                          <w:szCs w:val="48"/>
                        </w:rPr>
                      </w:pPr>
                      <w:r w:rsidRPr="003D7234">
                        <w:rPr>
                          <w:rFonts w:ascii="Arial" w:hAnsi="Arial" w:cs="Arial"/>
                          <w:b/>
                          <w:sz w:val="48"/>
                          <w:szCs w:val="48"/>
                        </w:rPr>
                        <w:t>6</w:t>
                      </w:r>
                    </w:p>
                  </w:txbxContent>
                </v:textbox>
              </v:shape>
            </w:pict>
          </mc:Fallback>
        </mc:AlternateContent>
      </w:r>
    </w:p>
    <w:p w:rsidR="00F84313" w:rsidRPr="00F84313" w:rsidRDefault="00141FA5" w:rsidP="00F84313">
      <w:pPr>
        <w:spacing w:after="0" w:line="240" w:lineRule="auto"/>
        <w:jc w:val="center"/>
        <w:rPr>
          <w:rFonts w:ascii="Arial" w:eastAsia="Times New Roman" w:hAnsi="Arial" w:cs="Arial"/>
          <w:b/>
          <w:sz w:val="28"/>
          <w:szCs w:val="28"/>
        </w:rPr>
      </w:pPr>
      <w:r>
        <w:rPr>
          <w:rFonts w:ascii="Arial" w:eastAsia="Times New Roman" w:hAnsi="Arial" w:cs="Arial"/>
          <w:b/>
          <w:sz w:val="28"/>
          <w:szCs w:val="28"/>
        </w:rPr>
        <w:t>S</w:t>
      </w:r>
      <w:r w:rsidR="00F84313" w:rsidRPr="00F84313">
        <w:rPr>
          <w:rFonts w:ascii="Arial" w:eastAsia="Times New Roman" w:hAnsi="Arial" w:cs="Arial"/>
          <w:b/>
          <w:sz w:val="28"/>
          <w:szCs w:val="28"/>
        </w:rPr>
        <w:t>CHOOLS FORUM</w:t>
      </w:r>
    </w:p>
    <w:p w:rsidR="00F84313" w:rsidRPr="00F84313" w:rsidRDefault="00F84313" w:rsidP="00F84313">
      <w:pPr>
        <w:spacing w:after="0" w:line="240" w:lineRule="auto"/>
        <w:ind w:left="720" w:hanging="720"/>
        <w:jc w:val="center"/>
        <w:rPr>
          <w:rFonts w:ascii="Arial" w:eastAsia="Times New Roman" w:hAnsi="Arial" w:cs="Arial"/>
          <w:b/>
          <w:sz w:val="28"/>
          <w:szCs w:val="28"/>
        </w:rPr>
      </w:pPr>
    </w:p>
    <w:p w:rsidR="00F84313" w:rsidRPr="00F84313" w:rsidRDefault="00F84313" w:rsidP="00F84313">
      <w:pPr>
        <w:spacing w:after="0" w:line="240" w:lineRule="auto"/>
        <w:jc w:val="center"/>
        <w:rPr>
          <w:rFonts w:ascii="Arial Narrow" w:eastAsia="Times New Roman" w:hAnsi="Arial Narrow" w:cs="Times New Roman"/>
          <w:b/>
          <w:sz w:val="28"/>
          <w:szCs w:val="28"/>
          <w:u w:val="thick" w:color="000080"/>
          <w:lang w:eastAsia="en-GB"/>
        </w:rPr>
      </w:pPr>
      <w:r w:rsidRPr="00F84313">
        <w:rPr>
          <w:rFonts w:ascii="Arial Narrow" w:eastAsia="Times New Roman" w:hAnsi="Arial Narrow" w:cs="Times New Roman"/>
          <w:b/>
          <w:sz w:val="28"/>
          <w:szCs w:val="28"/>
          <w:u w:val="thick" w:color="000080"/>
          <w:lang w:eastAsia="en-GB"/>
        </w:rPr>
        <w:t>17</w:t>
      </w:r>
      <w:r w:rsidRPr="00F84313">
        <w:rPr>
          <w:rFonts w:ascii="Arial Narrow" w:eastAsia="Times New Roman" w:hAnsi="Arial Narrow" w:cs="Times New Roman"/>
          <w:b/>
          <w:sz w:val="28"/>
          <w:szCs w:val="28"/>
          <w:u w:val="thick" w:color="000080"/>
          <w:vertAlign w:val="superscript"/>
          <w:lang w:eastAsia="en-GB"/>
        </w:rPr>
        <w:t>th</w:t>
      </w:r>
      <w:r w:rsidRPr="00F84313">
        <w:rPr>
          <w:rFonts w:ascii="Arial Narrow" w:eastAsia="Times New Roman" w:hAnsi="Arial Narrow" w:cs="Times New Roman"/>
          <w:b/>
          <w:sz w:val="28"/>
          <w:szCs w:val="28"/>
          <w:u w:val="thick" w:color="000080"/>
          <w:lang w:eastAsia="en-GB"/>
        </w:rPr>
        <w:t xml:space="preserve"> November 2015  </w:t>
      </w:r>
    </w:p>
    <w:p w:rsidR="00F84313" w:rsidRPr="00F84313" w:rsidRDefault="00F84313" w:rsidP="00F84313">
      <w:pPr>
        <w:spacing w:after="0" w:line="240" w:lineRule="auto"/>
        <w:jc w:val="center"/>
        <w:rPr>
          <w:rFonts w:ascii="Arial Narrow" w:eastAsia="Times New Roman" w:hAnsi="Arial Narrow" w:cs="Times New Roman"/>
          <w:b/>
          <w:sz w:val="28"/>
          <w:szCs w:val="28"/>
          <w:u w:val="thick" w:color="000080"/>
          <w:lang w:eastAsia="en-GB"/>
        </w:rPr>
      </w:pPr>
    </w:p>
    <w:p w:rsidR="00F84313" w:rsidRPr="00F84313" w:rsidRDefault="00F84313" w:rsidP="00F84313">
      <w:pPr>
        <w:spacing w:after="0" w:line="240" w:lineRule="auto"/>
        <w:jc w:val="center"/>
        <w:rPr>
          <w:rFonts w:ascii="Arial Narrow" w:eastAsia="Times New Roman" w:hAnsi="Arial Narrow" w:cs="Times New Roman"/>
          <w:b/>
          <w:sz w:val="28"/>
          <w:szCs w:val="28"/>
          <w:lang w:eastAsia="en-GB"/>
        </w:rPr>
      </w:pPr>
      <w:r w:rsidRPr="00F84313">
        <w:rPr>
          <w:rFonts w:ascii="Arial Narrow" w:eastAsia="Times New Roman" w:hAnsi="Arial Narrow" w:cs="Times New Roman"/>
          <w:b/>
          <w:sz w:val="28"/>
          <w:szCs w:val="28"/>
          <w:lang w:eastAsia="en-GB"/>
        </w:rPr>
        <w:t>Behaviour Strategy for Bath and North East Somerset</w:t>
      </w: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680"/>
        <w:gridCol w:w="6539"/>
      </w:tblGrid>
      <w:tr w:rsidR="00F84313" w:rsidRPr="00F84313" w:rsidTr="00136A19">
        <w:trPr>
          <w:tblCellSpacing w:w="20" w:type="dxa"/>
        </w:trPr>
        <w:tc>
          <w:tcPr>
            <w:tcW w:w="2835" w:type="dxa"/>
            <w:shd w:val="clear" w:color="auto" w:fill="E1E1FF"/>
          </w:tcPr>
          <w:p w:rsidR="00F84313" w:rsidRPr="00F84313" w:rsidRDefault="00F84313" w:rsidP="00F84313">
            <w:pPr>
              <w:spacing w:after="0" w:line="240" w:lineRule="auto"/>
              <w:rPr>
                <w:rFonts w:ascii="Arial Narrow" w:eastAsia="Times New Roman" w:hAnsi="Arial Narrow" w:cs="Times New Roman"/>
                <w:b/>
                <w:sz w:val="28"/>
                <w:szCs w:val="28"/>
                <w:lang w:eastAsia="en-GB"/>
              </w:rPr>
            </w:pPr>
            <w:r w:rsidRPr="00F84313">
              <w:rPr>
                <w:rFonts w:ascii="Arial Narrow" w:eastAsia="Times New Roman" w:hAnsi="Arial Narrow" w:cs="Times New Roman"/>
                <w:b/>
                <w:sz w:val="28"/>
                <w:szCs w:val="28"/>
                <w:lang w:eastAsia="en-GB"/>
              </w:rPr>
              <w:t>Lead Officer</w:t>
            </w:r>
          </w:p>
        </w:tc>
        <w:tc>
          <w:tcPr>
            <w:tcW w:w="7140" w:type="dxa"/>
            <w:shd w:val="clear" w:color="auto" w:fill="auto"/>
          </w:tcPr>
          <w:p w:rsidR="00F84313" w:rsidRPr="00F84313" w:rsidRDefault="00F84313" w:rsidP="00F84313">
            <w:pPr>
              <w:spacing w:after="0" w:line="240" w:lineRule="auto"/>
              <w:jc w:val="center"/>
              <w:rPr>
                <w:rFonts w:ascii="Arial Narrow" w:eastAsia="Times New Roman" w:hAnsi="Arial Narrow" w:cs="Times New Roman"/>
                <w:b/>
                <w:sz w:val="24"/>
                <w:szCs w:val="24"/>
                <w:lang w:eastAsia="en-GB"/>
              </w:rPr>
            </w:pPr>
          </w:p>
          <w:p w:rsidR="00F84313" w:rsidRPr="00F84313" w:rsidRDefault="00F84313" w:rsidP="00F84313">
            <w:pPr>
              <w:spacing w:after="0" w:line="240" w:lineRule="auto"/>
              <w:jc w:val="center"/>
              <w:rPr>
                <w:rFonts w:ascii="Arial Narrow" w:eastAsia="Times New Roman" w:hAnsi="Arial Narrow" w:cs="Times New Roman"/>
                <w:b/>
                <w:sz w:val="24"/>
                <w:szCs w:val="24"/>
                <w:lang w:eastAsia="en-GB"/>
              </w:rPr>
            </w:pPr>
            <w:r w:rsidRPr="00F84313">
              <w:rPr>
                <w:rFonts w:ascii="Arial Narrow" w:eastAsia="Times New Roman" w:hAnsi="Arial Narrow" w:cs="Times New Roman"/>
                <w:b/>
                <w:sz w:val="24"/>
                <w:szCs w:val="24"/>
                <w:lang w:eastAsia="en-GB"/>
              </w:rPr>
              <w:t xml:space="preserve">Jeannette Veira  </w:t>
            </w:r>
          </w:p>
        </w:tc>
      </w:tr>
      <w:tr w:rsidR="00F84313" w:rsidRPr="00F84313" w:rsidTr="00136A19">
        <w:trPr>
          <w:tblCellSpacing w:w="20" w:type="dxa"/>
        </w:trPr>
        <w:tc>
          <w:tcPr>
            <w:tcW w:w="2835" w:type="dxa"/>
            <w:shd w:val="clear" w:color="auto" w:fill="E1E1FF"/>
          </w:tcPr>
          <w:p w:rsidR="00F84313" w:rsidRPr="00F84313" w:rsidRDefault="00F84313" w:rsidP="00F84313">
            <w:pPr>
              <w:spacing w:after="0" w:line="240" w:lineRule="auto"/>
              <w:rPr>
                <w:rFonts w:ascii="Arial Narrow" w:eastAsia="Times New Roman" w:hAnsi="Arial Narrow" w:cs="Times New Roman"/>
                <w:b/>
                <w:sz w:val="28"/>
                <w:szCs w:val="28"/>
                <w:lang w:eastAsia="en-GB"/>
              </w:rPr>
            </w:pPr>
            <w:r w:rsidRPr="00F84313">
              <w:rPr>
                <w:rFonts w:ascii="Arial Narrow" w:eastAsia="Times New Roman" w:hAnsi="Arial Narrow" w:cs="Times New Roman"/>
                <w:b/>
                <w:sz w:val="28"/>
                <w:szCs w:val="28"/>
                <w:lang w:eastAsia="en-GB"/>
              </w:rPr>
              <w:t>Contact details</w:t>
            </w:r>
          </w:p>
        </w:tc>
        <w:tc>
          <w:tcPr>
            <w:tcW w:w="7140" w:type="dxa"/>
            <w:shd w:val="clear" w:color="auto" w:fill="auto"/>
          </w:tcPr>
          <w:p w:rsidR="00F84313" w:rsidRPr="00F84313" w:rsidRDefault="00F84313" w:rsidP="00F84313">
            <w:pPr>
              <w:spacing w:after="0" w:line="240" w:lineRule="auto"/>
              <w:jc w:val="center"/>
              <w:rPr>
                <w:rFonts w:ascii="Arial Narrow" w:eastAsia="Times New Roman" w:hAnsi="Arial Narrow" w:cs="Times New Roman"/>
                <w:b/>
                <w:sz w:val="24"/>
                <w:szCs w:val="24"/>
                <w:lang w:eastAsia="en-GB"/>
              </w:rPr>
            </w:pPr>
            <w:r w:rsidRPr="00F84313">
              <w:rPr>
                <w:rFonts w:ascii="Arial Narrow" w:eastAsia="Times New Roman" w:hAnsi="Arial Narrow" w:cs="Times New Roman"/>
                <w:b/>
                <w:sz w:val="24"/>
                <w:szCs w:val="24"/>
                <w:lang w:eastAsia="en-GB"/>
              </w:rPr>
              <w:t>Jeannette-veira@bathnes.co.uk</w:t>
            </w:r>
          </w:p>
        </w:tc>
      </w:tr>
      <w:tr w:rsidR="00F84313" w:rsidRPr="00F84313" w:rsidTr="00136A19">
        <w:trPr>
          <w:tblCellSpacing w:w="20" w:type="dxa"/>
        </w:trPr>
        <w:tc>
          <w:tcPr>
            <w:tcW w:w="2835" w:type="dxa"/>
            <w:shd w:val="clear" w:color="auto" w:fill="E1E1FF"/>
          </w:tcPr>
          <w:p w:rsidR="00F84313" w:rsidRPr="00F84313" w:rsidRDefault="00F84313" w:rsidP="00F84313">
            <w:pPr>
              <w:spacing w:after="0" w:line="240" w:lineRule="auto"/>
              <w:rPr>
                <w:rFonts w:ascii="Arial Narrow" w:eastAsia="Times New Roman" w:hAnsi="Arial Narrow" w:cs="Times New Roman"/>
                <w:b/>
                <w:sz w:val="28"/>
                <w:szCs w:val="28"/>
                <w:lang w:eastAsia="en-GB"/>
              </w:rPr>
            </w:pPr>
            <w:r w:rsidRPr="00F84313">
              <w:rPr>
                <w:rFonts w:ascii="Arial Narrow" w:eastAsia="Times New Roman" w:hAnsi="Arial Narrow" w:cs="Times New Roman"/>
                <w:b/>
                <w:sz w:val="28"/>
                <w:szCs w:val="28"/>
                <w:lang w:eastAsia="en-GB"/>
              </w:rPr>
              <w:t>Forum asked to decide / steer / be informed</w:t>
            </w:r>
          </w:p>
        </w:tc>
        <w:tc>
          <w:tcPr>
            <w:tcW w:w="7140" w:type="dxa"/>
            <w:shd w:val="clear" w:color="auto" w:fill="auto"/>
          </w:tcPr>
          <w:p w:rsidR="00F84313" w:rsidRPr="00F84313" w:rsidRDefault="00F84313" w:rsidP="00F84313">
            <w:pPr>
              <w:spacing w:after="0" w:line="240" w:lineRule="auto"/>
              <w:jc w:val="center"/>
              <w:rPr>
                <w:rFonts w:ascii="Arial Narrow" w:eastAsia="Times New Roman" w:hAnsi="Arial Narrow" w:cs="Times New Roman"/>
                <w:b/>
                <w:sz w:val="24"/>
                <w:szCs w:val="24"/>
                <w:lang w:eastAsia="en-GB"/>
              </w:rPr>
            </w:pPr>
            <w:r w:rsidRPr="00F84313">
              <w:rPr>
                <w:rFonts w:ascii="Arial Narrow" w:eastAsia="Times New Roman" w:hAnsi="Arial Narrow" w:cs="Times New Roman"/>
                <w:b/>
                <w:sz w:val="24"/>
                <w:szCs w:val="24"/>
                <w:lang w:eastAsia="en-GB"/>
              </w:rPr>
              <w:t>The Forum is asked to consider the emerging proposals from the Behaviour Strategy</w:t>
            </w:r>
          </w:p>
        </w:tc>
      </w:tr>
      <w:tr w:rsidR="00F84313" w:rsidRPr="00F84313" w:rsidTr="00136A19">
        <w:trPr>
          <w:tblCellSpacing w:w="20" w:type="dxa"/>
        </w:trPr>
        <w:tc>
          <w:tcPr>
            <w:tcW w:w="2835" w:type="dxa"/>
            <w:shd w:val="clear" w:color="auto" w:fill="E1E1FF"/>
          </w:tcPr>
          <w:p w:rsidR="00F84313" w:rsidRPr="00F84313" w:rsidRDefault="00F84313" w:rsidP="00F84313">
            <w:pPr>
              <w:spacing w:after="0" w:line="240" w:lineRule="auto"/>
              <w:rPr>
                <w:rFonts w:ascii="Arial Narrow" w:eastAsia="Times New Roman" w:hAnsi="Arial Narrow" w:cs="Times New Roman"/>
                <w:b/>
                <w:sz w:val="28"/>
                <w:szCs w:val="28"/>
                <w:lang w:eastAsia="en-GB"/>
              </w:rPr>
            </w:pPr>
            <w:r w:rsidRPr="00F84313">
              <w:rPr>
                <w:rFonts w:ascii="Arial Narrow" w:eastAsia="Times New Roman" w:hAnsi="Arial Narrow" w:cs="Times New Roman"/>
                <w:b/>
                <w:sz w:val="28"/>
                <w:szCs w:val="28"/>
                <w:lang w:eastAsia="en-GB"/>
              </w:rPr>
              <w:t>Time Needed</w:t>
            </w:r>
          </w:p>
        </w:tc>
        <w:tc>
          <w:tcPr>
            <w:tcW w:w="7140" w:type="dxa"/>
            <w:shd w:val="clear" w:color="auto" w:fill="auto"/>
          </w:tcPr>
          <w:p w:rsidR="00F84313" w:rsidRPr="00F84313" w:rsidRDefault="00F84313" w:rsidP="00F84313">
            <w:pPr>
              <w:spacing w:after="0" w:line="240" w:lineRule="auto"/>
              <w:jc w:val="center"/>
              <w:rPr>
                <w:rFonts w:ascii="Arial Narrow" w:eastAsia="Times New Roman" w:hAnsi="Arial Narrow" w:cs="Times New Roman"/>
                <w:b/>
                <w:sz w:val="24"/>
                <w:szCs w:val="24"/>
                <w:lang w:eastAsia="en-GB"/>
              </w:rPr>
            </w:pPr>
            <w:r w:rsidRPr="00F84313">
              <w:rPr>
                <w:rFonts w:ascii="Arial Narrow" w:eastAsia="Times New Roman" w:hAnsi="Arial Narrow" w:cs="Times New Roman"/>
                <w:b/>
                <w:sz w:val="24"/>
                <w:szCs w:val="24"/>
                <w:lang w:eastAsia="en-GB"/>
              </w:rPr>
              <w:t>15/20 minutes</w:t>
            </w:r>
          </w:p>
        </w:tc>
      </w:tr>
    </w:tbl>
    <w:p w:rsidR="00F84313" w:rsidRPr="00F84313" w:rsidRDefault="00F84313" w:rsidP="00F84313">
      <w:pPr>
        <w:spacing w:after="0" w:line="240" w:lineRule="auto"/>
        <w:rPr>
          <w:rFonts w:ascii="Arial Narrow" w:eastAsia="Times New Roman" w:hAnsi="Arial Narrow" w:cs="Times New Roman"/>
          <w:b/>
          <w:sz w:val="24"/>
          <w:szCs w:val="24"/>
          <w:lang w:eastAsia="en-GB"/>
        </w:rPr>
      </w:pPr>
    </w:p>
    <w:p w:rsidR="00F84313" w:rsidRPr="009E25EA" w:rsidRDefault="00F84313" w:rsidP="00F84313">
      <w:pPr>
        <w:spacing w:after="0" w:line="240" w:lineRule="auto"/>
        <w:rPr>
          <w:rFonts w:ascii="Arial" w:eastAsia="Times New Roman" w:hAnsi="Arial" w:cs="Arial"/>
          <w:b/>
          <w:sz w:val="24"/>
          <w:szCs w:val="24"/>
          <w:lang w:eastAsia="en-GB"/>
        </w:rPr>
      </w:pPr>
      <w:r w:rsidRPr="00F84313">
        <w:rPr>
          <w:rFonts w:ascii="Arial" w:eastAsia="Times New Roman" w:hAnsi="Arial" w:cs="Arial"/>
          <w:b/>
          <w:sz w:val="24"/>
          <w:szCs w:val="24"/>
          <w:lang w:eastAsia="en-GB"/>
        </w:rPr>
        <w:t>Introduction</w:t>
      </w:r>
    </w:p>
    <w:p w:rsidR="009412EC" w:rsidRPr="00F84313" w:rsidRDefault="009412EC" w:rsidP="00F84313">
      <w:pPr>
        <w:spacing w:after="0" w:line="240" w:lineRule="auto"/>
        <w:rPr>
          <w:rFonts w:ascii="Arial" w:eastAsia="Times New Roman" w:hAnsi="Arial" w:cs="Arial"/>
          <w:b/>
          <w:sz w:val="24"/>
          <w:szCs w:val="24"/>
          <w:lang w:eastAsia="en-GB"/>
        </w:rPr>
      </w:pPr>
    </w:p>
    <w:p w:rsidR="00A46FD7" w:rsidRDefault="00475A20" w:rsidP="00A46FD7">
      <w:pPr>
        <w:ind w:left="284"/>
        <w:rPr>
          <w:sz w:val="24"/>
          <w:szCs w:val="24"/>
        </w:rPr>
      </w:pPr>
      <w:r w:rsidRPr="00475A20">
        <w:rPr>
          <w:sz w:val="24"/>
          <w:szCs w:val="24"/>
        </w:rPr>
        <w:t xml:space="preserve">The purpose of this paper is to outline the </w:t>
      </w:r>
      <w:r w:rsidR="00DC4E59">
        <w:rPr>
          <w:sz w:val="24"/>
          <w:szCs w:val="24"/>
        </w:rPr>
        <w:t xml:space="preserve">emerging findings of the work to develop a Behaviour Strategy. This includes an initial assessment of </w:t>
      </w:r>
      <w:r w:rsidRPr="00475A20">
        <w:rPr>
          <w:sz w:val="24"/>
          <w:szCs w:val="24"/>
        </w:rPr>
        <w:t>current arrangements for providing education for children and young people</w:t>
      </w:r>
      <w:r w:rsidR="00681DCF">
        <w:rPr>
          <w:sz w:val="24"/>
          <w:szCs w:val="24"/>
        </w:rPr>
        <w:t xml:space="preserve"> who fall within B&amp;NES Section 19 duty to provide suitable education for those who are out of school </w:t>
      </w:r>
      <w:r w:rsidR="00CB34A5">
        <w:rPr>
          <w:sz w:val="24"/>
          <w:szCs w:val="24"/>
        </w:rPr>
        <w:t xml:space="preserve">including </w:t>
      </w:r>
      <w:r w:rsidRPr="00475A20">
        <w:rPr>
          <w:sz w:val="24"/>
          <w:szCs w:val="24"/>
        </w:rPr>
        <w:t xml:space="preserve">associated costs and budget implications.  This </w:t>
      </w:r>
      <w:r w:rsidR="00DC4E59">
        <w:rPr>
          <w:sz w:val="24"/>
          <w:szCs w:val="24"/>
        </w:rPr>
        <w:t xml:space="preserve">paper also includes emerging recommendations for enhancing that capacity and the wider aspects of commissioning and provision of a coherent approach to managing pupil behaviour and </w:t>
      </w:r>
      <w:r w:rsidRPr="00475A20">
        <w:rPr>
          <w:sz w:val="24"/>
          <w:szCs w:val="24"/>
        </w:rPr>
        <w:t>to ensure maximum effectiveness and efficiency</w:t>
      </w:r>
      <w:r w:rsidR="0018217A">
        <w:rPr>
          <w:sz w:val="24"/>
          <w:szCs w:val="24"/>
        </w:rPr>
        <w:t xml:space="preserve"> in the delivery of alternative education provision.</w:t>
      </w:r>
    </w:p>
    <w:p w:rsidR="00B108A6" w:rsidRPr="00BA2E12" w:rsidRDefault="007C32E6" w:rsidP="00A46FD7">
      <w:pPr>
        <w:ind w:left="284"/>
        <w:rPr>
          <w:sz w:val="24"/>
          <w:szCs w:val="24"/>
        </w:rPr>
      </w:pPr>
      <w:r w:rsidRPr="00BA2E12">
        <w:rPr>
          <w:sz w:val="24"/>
          <w:szCs w:val="24"/>
        </w:rPr>
        <w:t xml:space="preserve">This report </w:t>
      </w:r>
      <w:r w:rsidR="002420BA">
        <w:rPr>
          <w:sz w:val="24"/>
          <w:szCs w:val="24"/>
        </w:rPr>
        <w:t xml:space="preserve">brings to </w:t>
      </w:r>
      <w:r w:rsidRPr="00BA2E12">
        <w:rPr>
          <w:sz w:val="24"/>
          <w:szCs w:val="24"/>
        </w:rPr>
        <w:t>the Schools Forum proposals for a</w:t>
      </w:r>
      <w:r w:rsidR="00C511EC" w:rsidRPr="00BA2E12">
        <w:rPr>
          <w:sz w:val="24"/>
          <w:szCs w:val="24"/>
        </w:rPr>
        <w:t>n enhanced</w:t>
      </w:r>
      <w:r w:rsidR="002420BA">
        <w:rPr>
          <w:sz w:val="24"/>
          <w:szCs w:val="24"/>
        </w:rPr>
        <w:t xml:space="preserve"> model of</w:t>
      </w:r>
      <w:r w:rsidRPr="00BA2E12">
        <w:rPr>
          <w:sz w:val="24"/>
          <w:szCs w:val="24"/>
        </w:rPr>
        <w:t xml:space="preserve"> alternative education</w:t>
      </w:r>
      <w:r w:rsidR="00C511EC" w:rsidRPr="00BA2E12">
        <w:rPr>
          <w:sz w:val="24"/>
          <w:szCs w:val="24"/>
        </w:rPr>
        <w:t xml:space="preserve"> provision for pupils who are excluded from school and also those at risk of exclusion.</w:t>
      </w:r>
      <w:r w:rsidRPr="00BA2E12">
        <w:rPr>
          <w:sz w:val="24"/>
          <w:szCs w:val="24"/>
        </w:rPr>
        <w:t xml:space="preserve"> The</w:t>
      </w:r>
      <w:r w:rsidR="00520515">
        <w:rPr>
          <w:sz w:val="24"/>
          <w:szCs w:val="24"/>
        </w:rPr>
        <w:t>se proposals</w:t>
      </w:r>
      <w:r w:rsidRPr="00BA2E12">
        <w:rPr>
          <w:sz w:val="24"/>
          <w:szCs w:val="24"/>
        </w:rPr>
        <w:t xml:space="preserve"> will play a critical role in taking forward </w:t>
      </w:r>
      <w:r w:rsidR="00C511EC" w:rsidRPr="00BA2E12">
        <w:rPr>
          <w:sz w:val="24"/>
          <w:szCs w:val="24"/>
        </w:rPr>
        <w:t xml:space="preserve">the Authority`s </w:t>
      </w:r>
      <w:r w:rsidRPr="00BA2E12">
        <w:rPr>
          <w:sz w:val="24"/>
          <w:szCs w:val="24"/>
        </w:rPr>
        <w:t xml:space="preserve">wider preventative agenda, with a strong focus on early intervention and partnership working with schools. </w:t>
      </w:r>
    </w:p>
    <w:p w:rsidR="00860DE6" w:rsidRDefault="00860DE6" w:rsidP="00860DE6">
      <w:pPr>
        <w:rPr>
          <w:b/>
          <w:sz w:val="28"/>
          <w:szCs w:val="28"/>
        </w:rPr>
      </w:pPr>
      <w:r w:rsidRPr="00860DE6">
        <w:rPr>
          <w:b/>
          <w:sz w:val="28"/>
          <w:szCs w:val="28"/>
        </w:rPr>
        <w:t>Recommendation</w:t>
      </w:r>
    </w:p>
    <w:p w:rsidR="00DB4FFA" w:rsidRPr="00DB4FFA" w:rsidRDefault="00DB4FFA" w:rsidP="00860DE6">
      <w:pPr>
        <w:rPr>
          <w:sz w:val="24"/>
          <w:szCs w:val="24"/>
        </w:rPr>
      </w:pPr>
      <w:r w:rsidRPr="00DB4FFA">
        <w:rPr>
          <w:sz w:val="24"/>
          <w:szCs w:val="24"/>
        </w:rPr>
        <w:t xml:space="preserve">The School Forum is asked to consider how these proposals </w:t>
      </w:r>
      <w:r>
        <w:rPr>
          <w:sz w:val="24"/>
          <w:szCs w:val="24"/>
        </w:rPr>
        <w:t>might be incorporated into its future budget planning arrangements.</w:t>
      </w:r>
    </w:p>
    <w:p w:rsidR="00860DE6" w:rsidRDefault="00860DE6" w:rsidP="00AB3D98">
      <w:pPr>
        <w:ind w:left="720"/>
        <w:rPr>
          <w:b/>
          <w:sz w:val="24"/>
          <w:szCs w:val="24"/>
        </w:rPr>
      </w:pPr>
    </w:p>
    <w:p w:rsidR="00996EE5" w:rsidRPr="00E344E2" w:rsidRDefault="00E16EE6" w:rsidP="00996EE5">
      <w:pPr>
        <w:rPr>
          <w:b/>
          <w:sz w:val="24"/>
          <w:szCs w:val="24"/>
        </w:rPr>
      </w:pPr>
      <w:r w:rsidRPr="00E344E2">
        <w:rPr>
          <w:b/>
          <w:sz w:val="24"/>
          <w:szCs w:val="24"/>
        </w:rPr>
        <w:t xml:space="preserve">Report </w:t>
      </w:r>
    </w:p>
    <w:p w:rsidR="00C76DAE" w:rsidRDefault="00361D5B" w:rsidP="00BF5BED">
      <w:pPr>
        <w:rPr>
          <w:sz w:val="24"/>
          <w:szCs w:val="24"/>
        </w:rPr>
      </w:pPr>
      <w:r w:rsidRPr="00361D5B">
        <w:rPr>
          <w:sz w:val="24"/>
          <w:szCs w:val="24"/>
        </w:rPr>
        <w:t xml:space="preserve">In </w:t>
      </w:r>
      <w:r w:rsidR="00C76DAE">
        <w:rPr>
          <w:sz w:val="24"/>
          <w:szCs w:val="24"/>
        </w:rPr>
        <w:t xml:space="preserve">May </w:t>
      </w:r>
      <w:r w:rsidRPr="00361D5B">
        <w:rPr>
          <w:sz w:val="24"/>
          <w:szCs w:val="24"/>
        </w:rPr>
        <w:t>201</w:t>
      </w:r>
      <w:r w:rsidR="00C76DAE">
        <w:rPr>
          <w:sz w:val="24"/>
          <w:szCs w:val="24"/>
        </w:rPr>
        <w:t>5</w:t>
      </w:r>
      <w:r w:rsidRPr="00361D5B">
        <w:rPr>
          <w:sz w:val="24"/>
          <w:szCs w:val="24"/>
        </w:rPr>
        <w:t>,</w:t>
      </w:r>
      <w:r w:rsidR="00C76DAE">
        <w:rPr>
          <w:sz w:val="24"/>
          <w:szCs w:val="24"/>
        </w:rPr>
        <w:t xml:space="preserve"> Bath and North East Somerset (</w:t>
      </w:r>
      <w:r w:rsidR="00146A75">
        <w:rPr>
          <w:sz w:val="24"/>
          <w:szCs w:val="24"/>
        </w:rPr>
        <w:t>B&amp;NES</w:t>
      </w:r>
      <w:r w:rsidR="00C76DAE">
        <w:rPr>
          <w:sz w:val="24"/>
          <w:szCs w:val="24"/>
        </w:rPr>
        <w:t xml:space="preserve">), </w:t>
      </w:r>
      <w:r w:rsidRPr="00361D5B">
        <w:rPr>
          <w:sz w:val="24"/>
          <w:szCs w:val="24"/>
        </w:rPr>
        <w:t xml:space="preserve">commissioned </w:t>
      </w:r>
      <w:r w:rsidR="00DC4E59">
        <w:rPr>
          <w:sz w:val="24"/>
          <w:szCs w:val="24"/>
        </w:rPr>
        <w:t xml:space="preserve">on behalf of the LA and schools </w:t>
      </w:r>
      <w:r w:rsidRPr="00361D5B">
        <w:rPr>
          <w:sz w:val="24"/>
          <w:szCs w:val="24"/>
        </w:rPr>
        <w:t xml:space="preserve">a strategic review of </w:t>
      </w:r>
      <w:r w:rsidR="00DC4E59">
        <w:rPr>
          <w:sz w:val="24"/>
          <w:szCs w:val="24"/>
        </w:rPr>
        <w:t xml:space="preserve">behaviour support including </w:t>
      </w:r>
      <w:r w:rsidRPr="00361D5B">
        <w:rPr>
          <w:sz w:val="24"/>
          <w:szCs w:val="24"/>
        </w:rPr>
        <w:t>the delivery of alternative</w:t>
      </w:r>
      <w:r w:rsidR="005E1BC3">
        <w:rPr>
          <w:sz w:val="24"/>
          <w:szCs w:val="24"/>
        </w:rPr>
        <w:t xml:space="preserve"> </w:t>
      </w:r>
      <w:r w:rsidRPr="00361D5B">
        <w:rPr>
          <w:sz w:val="24"/>
          <w:szCs w:val="24"/>
        </w:rPr>
        <w:t>provision and education otherwise than at school (EOTAS) services, systems and processes.</w:t>
      </w:r>
      <w:r w:rsidR="00C76DAE">
        <w:rPr>
          <w:sz w:val="24"/>
          <w:szCs w:val="24"/>
        </w:rPr>
        <w:t xml:space="preserve"> The purpose of the review was to:</w:t>
      </w:r>
    </w:p>
    <w:p w:rsidR="00BF5BED" w:rsidRPr="00E66B23" w:rsidRDefault="00BF5BED" w:rsidP="00E66B23">
      <w:pPr>
        <w:pStyle w:val="ListParagraph"/>
        <w:numPr>
          <w:ilvl w:val="0"/>
          <w:numId w:val="15"/>
        </w:numPr>
        <w:rPr>
          <w:sz w:val="24"/>
          <w:szCs w:val="24"/>
        </w:rPr>
      </w:pPr>
      <w:r w:rsidRPr="00E66B23">
        <w:rPr>
          <w:sz w:val="24"/>
          <w:szCs w:val="24"/>
        </w:rPr>
        <w:t>Better match provision to current and emergent needs and demand</w:t>
      </w:r>
    </w:p>
    <w:p w:rsidR="00BF5BED" w:rsidRPr="00E66B23" w:rsidRDefault="00BF5BED" w:rsidP="00E66B23">
      <w:pPr>
        <w:pStyle w:val="ListParagraph"/>
        <w:numPr>
          <w:ilvl w:val="0"/>
          <w:numId w:val="15"/>
        </w:numPr>
        <w:rPr>
          <w:sz w:val="24"/>
          <w:szCs w:val="24"/>
        </w:rPr>
      </w:pPr>
      <w:r w:rsidRPr="00E66B23">
        <w:rPr>
          <w:sz w:val="24"/>
          <w:szCs w:val="24"/>
        </w:rPr>
        <w:t>Ensure quick and effective systems to support children &amp; young people, families &amp; schools</w:t>
      </w:r>
    </w:p>
    <w:p w:rsidR="00BF5BED" w:rsidRPr="00E66B23" w:rsidRDefault="00BF5BED" w:rsidP="00E66B23">
      <w:pPr>
        <w:pStyle w:val="ListParagraph"/>
        <w:numPr>
          <w:ilvl w:val="0"/>
          <w:numId w:val="15"/>
        </w:numPr>
        <w:rPr>
          <w:sz w:val="24"/>
          <w:szCs w:val="24"/>
        </w:rPr>
      </w:pPr>
      <w:r w:rsidRPr="00E66B23">
        <w:rPr>
          <w:sz w:val="24"/>
          <w:szCs w:val="24"/>
        </w:rPr>
        <w:t xml:space="preserve">Secure good value for money including evaluation of effectiveness via comparing </w:t>
      </w:r>
      <w:r w:rsidR="00220241" w:rsidRPr="00E66B23">
        <w:rPr>
          <w:sz w:val="24"/>
          <w:szCs w:val="24"/>
        </w:rPr>
        <w:t xml:space="preserve">    </w:t>
      </w:r>
      <w:r w:rsidRPr="00E66B23">
        <w:rPr>
          <w:sz w:val="24"/>
          <w:szCs w:val="24"/>
        </w:rPr>
        <w:t>outcomes to costs and consideration of wider evidence of ‘what works’</w:t>
      </w:r>
    </w:p>
    <w:p w:rsidR="00BF5BED" w:rsidRPr="00E66B23" w:rsidRDefault="00BF5BED" w:rsidP="00E66B23">
      <w:pPr>
        <w:pStyle w:val="ListParagraph"/>
        <w:numPr>
          <w:ilvl w:val="0"/>
          <w:numId w:val="15"/>
        </w:numPr>
        <w:rPr>
          <w:sz w:val="24"/>
          <w:szCs w:val="24"/>
        </w:rPr>
      </w:pPr>
      <w:r w:rsidRPr="00E66B23">
        <w:rPr>
          <w:sz w:val="24"/>
          <w:szCs w:val="24"/>
        </w:rPr>
        <w:t>Address capacity and skills issues within the system</w:t>
      </w:r>
    </w:p>
    <w:p w:rsidR="0045443D" w:rsidRPr="00E66B23" w:rsidRDefault="00BF5BED" w:rsidP="00E66B23">
      <w:pPr>
        <w:pStyle w:val="ListParagraph"/>
        <w:numPr>
          <w:ilvl w:val="0"/>
          <w:numId w:val="15"/>
        </w:numPr>
        <w:rPr>
          <w:sz w:val="24"/>
          <w:szCs w:val="24"/>
        </w:rPr>
      </w:pPr>
      <w:r w:rsidRPr="00E66B23">
        <w:rPr>
          <w:sz w:val="24"/>
          <w:szCs w:val="24"/>
        </w:rPr>
        <w:t>Promote consistent in-school behaviour strategies</w:t>
      </w:r>
    </w:p>
    <w:p w:rsidR="000C057B" w:rsidRDefault="006221CD" w:rsidP="00361D5B">
      <w:pPr>
        <w:rPr>
          <w:sz w:val="24"/>
          <w:szCs w:val="24"/>
        </w:rPr>
      </w:pPr>
      <w:r>
        <w:rPr>
          <w:sz w:val="24"/>
          <w:szCs w:val="24"/>
        </w:rPr>
        <w:t xml:space="preserve">A key </w:t>
      </w:r>
      <w:r w:rsidR="00361D5B" w:rsidRPr="00361D5B">
        <w:rPr>
          <w:sz w:val="24"/>
          <w:szCs w:val="24"/>
        </w:rPr>
        <w:t>objective</w:t>
      </w:r>
      <w:r>
        <w:rPr>
          <w:sz w:val="24"/>
          <w:szCs w:val="24"/>
        </w:rPr>
        <w:t xml:space="preserve"> of this work </w:t>
      </w:r>
      <w:r w:rsidR="00E04DFA">
        <w:rPr>
          <w:sz w:val="24"/>
          <w:szCs w:val="24"/>
        </w:rPr>
        <w:t>i</w:t>
      </w:r>
      <w:r w:rsidR="00361D5B" w:rsidRPr="00361D5B">
        <w:rPr>
          <w:sz w:val="24"/>
          <w:szCs w:val="24"/>
        </w:rPr>
        <w:t>s to consider how the existing</w:t>
      </w:r>
      <w:r w:rsidR="005E1BC3">
        <w:rPr>
          <w:sz w:val="24"/>
          <w:szCs w:val="24"/>
        </w:rPr>
        <w:t xml:space="preserve"> </w:t>
      </w:r>
      <w:r w:rsidR="00361D5B" w:rsidRPr="00361D5B">
        <w:rPr>
          <w:sz w:val="24"/>
          <w:szCs w:val="24"/>
        </w:rPr>
        <w:t>service, systems, policies and processes could be re-configured to build on existing good practice, respond to local needs and meet the requirement to provide suitable full</w:t>
      </w:r>
      <w:r w:rsidR="005E1BC3">
        <w:rPr>
          <w:sz w:val="24"/>
          <w:szCs w:val="24"/>
        </w:rPr>
        <w:t xml:space="preserve"> </w:t>
      </w:r>
      <w:r w:rsidR="00361D5B" w:rsidRPr="00361D5B">
        <w:rPr>
          <w:sz w:val="24"/>
          <w:szCs w:val="24"/>
        </w:rPr>
        <w:t>time educational provision to all pupils needing to be educated otherwise than at school.</w:t>
      </w:r>
    </w:p>
    <w:p w:rsidR="00EF6140" w:rsidRDefault="000C057B" w:rsidP="00EF6140">
      <w:pPr>
        <w:rPr>
          <w:sz w:val="24"/>
          <w:szCs w:val="24"/>
        </w:rPr>
      </w:pPr>
      <w:r>
        <w:rPr>
          <w:sz w:val="24"/>
          <w:szCs w:val="24"/>
        </w:rPr>
        <w:t xml:space="preserve">This review has </w:t>
      </w:r>
      <w:r w:rsidR="002930F5">
        <w:rPr>
          <w:sz w:val="24"/>
          <w:szCs w:val="24"/>
        </w:rPr>
        <w:t xml:space="preserve">taken place against a backdrop of </w:t>
      </w:r>
      <w:r w:rsidR="0035421E">
        <w:rPr>
          <w:sz w:val="24"/>
          <w:szCs w:val="24"/>
        </w:rPr>
        <w:t>recent changes in</w:t>
      </w:r>
      <w:r w:rsidR="005776E2">
        <w:rPr>
          <w:sz w:val="24"/>
          <w:szCs w:val="24"/>
        </w:rPr>
        <w:t xml:space="preserve"> National</w:t>
      </w:r>
      <w:r w:rsidR="0035421E">
        <w:rPr>
          <w:sz w:val="24"/>
          <w:szCs w:val="24"/>
        </w:rPr>
        <w:t xml:space="preserve"> Government policy regarding the funding and commissioning of alternative education provision f</w:t>
      </w:r>
      <w:r w:rsidR="00EF6140">
        <w:rPr>
          <w:sz w:val="24"/>
          <w:szCs w:val="24"/>
        </w:rPr>
        <w:t>o</w:t>
      </w:r>
      <w:r w:rsidR="0035421E">
        <w:rPr>
          <w:sz w:val="24"/>
          <w:szCs w:val="24"/>
        </w:rPr>
        <w:t>r children who are out of school.</w:t>
      </w:r>
      <w:r w:rsidR="0051769A">
        <w:rPr>
          <w:sz w:val="24"/>
          <w:szCs w:val="24"/>
        </w:rPr>
        <w:t xml:space="preserve"> </w:t>
      </w:r>
      <w:r w:rsidR="000D21F8">
        <w:rPr>
          <w:sz w:val="24"/>
          <w:szCs w:val="24"/>
        </w:rPr>
        <w:t xml:space="preserve">PRUs </w:t>
      </w:r>
      <w:r w:rsidR="00C93BC7">
        <w:rPr>
          <w:sz w:val="24"/>
          <w:szCs w:val="24"/>
        </w:rPr>
        <w:t xml:space="preserve"> (which are </w:t>
      </w:r>
      <w:r w:rsidR="000D21F8">
        <w:rPr>
          <w:sz w:val="24"/>
          <w:szCs w:val="24"/>
        </w:rPr>
        <w:t>small schools</w:t>
      </w:r>
      <w:r w:rsidR="00C93BC7">
        <w:rPr>
          <w:sz w:val="24"/>
          <w:szCs w:val="24"/>
        </w:rPr>
        <w:t>),</w:t>
      </w:r>
      <w:r w:rsidR="000D21F8">
        <w:rPr>
          <w:sz w:val="24"/>
          <w:szCs w:val="24"/>
        </w:rPr>
        <w:t xml:space="preserve"> were</w:t>
      </w:r>
      <w:r w:rsidR="00C93BC7">
        <w:rPr>
          <w:sz w:val="24"/>
          <w:szCs w:val="24"/>
        </w:rPr>
        <w:t xml:space="preserve"> run and</w:t>
      </w:r>
      <w:r w:rsidR="000D21F8">
        <w:rPr>
          <w:sz w:val="24"/>
          <w:szCs w:val="24"/>
        </w:rPr>
        <w:t xml:space="preserve"> administered by local authorities and used as the primary means of providing full time education f</w:t>
      </w:r>
      <w:r w:rsidR="00C93BC7">
        <w:rPr>
          <w:sz w:val="24"/>
          <w:szCs w:val="24"/>
        </w:rPr>
        <w:t>o</w:t>
      </w:r>
      <w:r w:rsidR="000D21F8">
        <w:rPr>
          <w:sz w:val="24"/>
          <w:szCs w:val="24"/>
        </w:rPr>
        <w:t xml:space="preserve">r children and young people who were permanently excluded from school. </w:t>
      </w:r>
      <w:r w:rsidR="000D21F8" w:rsidRPr="000D21F8">
        <w:rPr>
          <w:sz w:val="24"/>
          <w:szCs w:val="24"/>
        </w:rPr>
        <w:t>Since 1 April 2013, the Regulations governing Pupil Referral Units (PRUs), changed considerably.</w:t>
      </w:r>
      <w:r w:rsidR="00FE4017">
        <w:rPr>
          <w:sz w:val="24"/>
          <w:szCs w:val="24"/>
        </w:rPr>
        <w:t xml:space="preserve">  Historically the Link School fulfilled the role of a PRU in B&amp;NES.</w:t>
      </w:r>
    </w:p>
    <w:p w:rsidR="00A56ED2" w:rsidRDefault="00A56ED2" w:rsidP="00EF6140">
      <w:pPr>
        <w:rPr>
          <w:sz w:val="24"/>
          <w:szCs w:val="24"/>
        </w:rPr>
      </w:pPr>
      <w:r>
        <w:rPr>
          <w:sz w:val="24"/>
          <w:szCs w:val="24"/>
        </w:rPr>
        <w:t xml:space="preserve">In April 2014, the Local Authority negotiated </w:t>
      </w:r>
      <w:r w:rsidR="00DC4E59">
        <w:rPr>
          <w:sz w:val="24"/>
          <w:szCs w:val="24"/>
        </w:rPr>
        <w:t xml:space="preserve">on behalf of Schools Forum </w:t>
      </w:r>
      <w:r>
        <w:rPr>
          <w:sz w:val="24"/>
          <w:szCs w:val="24"/>
        </w:rPr>
        <w:t xml:space="preserve">a new contract with the Aspire AP Academy (formally the Link School), </w:t>
      </w:r>
      <w:r w:rsidR="00DA7900">
        <w:rPr>
          <w:sz w:val="24"/>
          <w:szCs w:val="24"/>
        </w:rPr>
        <w:t>to provide alternative education provision for pupils who are excluded from school.</w:t>
      </w:r>
    </w:p>
    <w:p w:rsidR="002B6E04" w:rsidRDefault="002B6E04" w:rsidP="007868EB">
      <w:pPr>
        <w:rPr>
          <w:sz w:val="24"/>
          <w:szCs w:val="24"/>
        </w:rPr>
      </w:pPr>
      <w:r w:rsidRPr="002B6E04">
        <w:rPr>
          <w:sz w:val="24"/>
          <w:szCs w:val="24"/>
        </w:rPr>
        <w:t xml:space="preserve">Since </w:t>
      </w:r>
      <w:r w:rsidR="00FB3830">
        <w:rPr>
          <w:sz w:val="24"/>
          <w:szCs w:val="24"/>
        </w:rPr>
        <w:t xml:space="preserve">April </w:t>
      </w:r>
      <w:r w:rsidRPr="002B6E04">
        <w:rPr>
          <w:sz w:val="24"/>
          <w:szCs w:val="24"/>
        </w:rPr>
        <w:t>201</w:t>
      </w:r>
      <w:r w:rsidR="00FB3830">
        <w:rPr>
          <w:sz w:val="24"/>
          <w:szCs w:val="24"/>
        </w:rPr>
        <w:t>3</w:t>
      </w:r>
      <w:r w:rsidRPr="002B6E04">
        <w:rPr>
          <w:sz w:val="24"/>
          <w:szCs w:val="24"/>
        </w:rPr>
        <w:t xml:space="preserve"> if a local authority felt a new pupil referral unit</w:t>
      </w:r>
      <w:r w:rsidR="00FB3830">
        <w:rPr>
          <w:sz w:val="24"/>
          <w:szCs w:val="24"/>
        </w:rPr>
        <w:t xml:space="preserve"> </w:t>
      </w:r>
      <w:r w:rsidRPr="002B6E04">
        <w:rPr>
          <w:sz w:val="24"/>
          <w:szCs w:val="24"/>
        </w:rPr>
        <w:t>needed to be established in their area, they must seek proposals from potential</w:t>
      </w:r>
      <w:r w:rsidR="00FB3830">
        <w:rPr>
          <w:sz w:val="24"/>
          <w:szCs w:val="24"/>
        </w:rPr>
        <w:t xml:space="preserve"> </w:t>
      </w:r>
      <w:r w:rsidRPr="002B6E04">
        <w:rPr>
          <w:sz w:val="24"/>
          <w:szCs w:val="24"/>
        </w:rPr>
        <w:t>providers for the establishment of an academy</w:t>
      </w:r>
      <w:r w:rsidR="00861BDC">
        <w:rPr>
          <w:sz w:val="24"/>
          <w:szCs w:val="24"/>
        </w:rPr>
        <w:t>,</w:t>
      </w:r>
      <w:r w:rsidRPr="002B6E04">
        <w:rPr>
          <w:sz w:val="24"/>
          <w:szCs w:val="24"/>
        </w:rPr>
        <w:t xml:space="preserve"> AP academy or AP Free</w:t>
      </w:r>
      <w:r w:rsidR="00704C31">
        <w:rPr>
          <w:sz w:val="24"/>
          <w:szCs w:val="24"/>
        </w:rPr>
        <w:t xml:space="preserve"> </w:t>
      </w:r>
      <w:r w:rsidRPr="002B6E04">
        <w:rPr>
          <w:sz w:val="24"/>
          <w:szCs w:val="24"/>
        </w:rPr>
        <w:t>School</w:t>
      </w:r>
      <w:r w:rsidR="00704C31">
        <w:rPr>
          <w:sz w:val="24"/>
          <w:szCs w:val="24"/>
        </w:rPr>
        <w:t>.</w:t>
      </w:r>
      <w:r w:rsidR="00C32B9C">
        <w:rPr>
          <w:sz w:val="24"/>
          <w:szCs w:val="24"/>
        </w:rPr>
        <w:t xml:space="preserve"> </w:t>
      </w:r>
      <w:r w:rsidR="00C32B9C" w:rsidRPr="00C32B9C">
        <w:rPr>
          <w:sz w:val="24"/>
          <w:szCs w:val="24"/>
        </w:rPr>
        <w:t xml:space="preserve">The </w:t>
      </w:r>
      <w:r w:rsidR="007868EB">
        <w:rPr>
          <w:sz w:val="24"/>
          <w:szCs w:val="24"/>
        </w:rPr>
        <w:t xml:space="preserve">local authority </w:t>
      </w:r>
      <w:r w:rsidR="00C32B9C" w:rsidRPr="00C32B9C">
        <w:rPr>
          <w:sz w:val="24"/>
          <w:szCs w:val="24"/>
        </w:rPr>
        <w:t>is expected to review AP provider performance at least</w:t>
      </w:r>
      <w:r w:rsidR="007868EB">
        <w:rPr>
          <w:sz w:val="24"/>
          <w:szCs w:val="24"/>
        </w:rPr>
        <w:t xml:space="preserve"> </w:t>
      </w:r>
      <w:r w:rsidR="00C32B9C" w:rsidRPr="00C32B9C">
        <w:rPr>
          <w:sz w:val="24"/>
          <w:szCs w:val="24"/>
        </w:rPr>
        <w:t>annually through a locally agreed quality assurance framework. If provision</w:t>
      </w:r>
      <w:r w:rsidR="007868EB">
        <w:rPr>
          <w:sz w:val="24"/>
          <w:szCs w:val="24"/>
        </w:rPr>
        <w:t xml:space="preserve"> </w:t>
      </w:r>
      <w:r w:rsidR="00C32B9C" w:rsidRPr="00C32B9C">
        <w:rPr>
          <w:sz w:val="24"/>
          <w:szCs w:val="24"/>
        </w:rPr>
        <w:t xml:space="preserve">does not meet the </w:t>
      </w:r>
      <w:r w:rsidR="007868EB">
        <w:rPr>
          <w:sz w:val="24"/>
          <w:szCs w:val="24"/>
        </w:rPr>
        <w:t xml:space="preserve">agreed </w:t>
      </w:r>
      <w:r w:rsidR="00C32B9C" w:rsidRPr="00C32B9C">
        <w:rPr>
          <w:sz w:val="24"/>
          <w:szCs w:val="24"/>
        </w:rPr>
        <w:t>criteria, the Council is expected to</w:t>
      </w:r>
      <w:r w:rsidR="007868EB">
        <w:rPr>
          <w:sz w:val="24"/>
          <w:szCs w:val="24"/>
        </w:rPr>
        <w:t xml:space="preserve"> </w:t>
      </w:r>
      <w:r w:rsidR="00C32B9C" w:rsidRPr="00C32B9C">
        <w:rPr>
          <w:sz w:val="24"/>
          <w:szCs w:val="24"/>
        </w:rPr>
        <w:t>formally notify the governing body of the areas of concern and the need to</w:t>
      </w:r>
      <w:r w:rsidR="007868EB">
        <w:rPr>
          <w:sz w:val="24"/>
          <w:szCs w:val="24"/>
        </w:rPr>
        <w:t xml:space="preserve"> </w:t>
      </w:r>
      <w:r w:rsidR="00C32B9C" w:rsidRPr="00C32B9C">
        <w:rPr>
          <w:sz w:val="24"/>
          <w:szCs w:val="24"/>
        </w:rPr>
        <w:t>improve and will instigate a competition to explore other options for provision in</w:t>
      </w:r>
      <w:r w:rsidR="007868EB">
        <w:rPr>
          <w:sz w:val="24"/>
          <w:szCs w:val="24"/>
        </w:rPr>
        <w:t xml:space="preserve"> </w:t>
      </w:r>
      <w:r w:rsidR="00C32B9C" w:rsidRPr="00C32B9C">
        <w:rPr>
          <w:sz w:val="24"/>
          <w:szCs w:val="24"/>
        </w:rPr>
        <w:t>order to achieve desired outcomes and value for money. Existing providers</w:t>
      </w:r>
      <w:r w:rsidR="007868EB">
        <w:rPr>
          <w:sz w:val="24"/>
          <w:szCs w:val="24"/>
        </w:rPr>
        <w:t xml:space="preserve"> </w:t>
      </w:r>
      <w:r w:rsidR="00C32B9C" w:rsidRPr="00C32B9C">
        <w:rPr>
          <w:sz w:val="24"/>
          <w:szCs w:val="24"/>
        </w:rPr>
        <w:t>would be eligible to tender and would be expected to offer a costed action plan</w:t>
      </w:r>
      <w:r w:rsidR="007868EB">
        <w:rPr>
          <w:sz w:val="24"/>
          <w:szCs w:val="24"/>
        </w:rPr>
        <w:t xml:space="preserve"> </w:t>
      </w:r>
      <w:r w:rsidR="00C32B9C" w:rsidRPr="00C32B9C">
        <w:rPr>
          <w:sz w:val="24"/>
          <w:szCs w:val="24"/>
        </w:rPr>
        <w:t>addressing identified areas of concern as part of their bid</w:t>
      </w:r>
      <w:r w:rsidR="007868EB">
        <w:rPr>
          <w:sz w:val="24"/>
          <w:szCs w:val="24"/>
        </w:rPr>
        <w:t>.</w:t>
      </w:r>
    </w:p>
    <w:p w:rsidR="007C32E6" w:rsidRDefault="004617B1" w:rsidP="00996EE5">
      <w:pPr>
        <w:rPr>
          <w:b/>
          <w:sz w:val="24"/>
          <w:szCs w:val="24"/>
        </w:rPr>
      </w:pPr>
      <w:bookmarkStart w:id="0" w:name="_GoBack"/>
      <w:bookmarkEnd w:id="0"/>
      <w:r>
        <w:rPr>
          <w:b/>
          <w:sz w:val="24"/>
          <w:szCs w:val="24"/>
        </w:rPr>
        <w:lastRenderedPageBreak/>
        <w:t xml:space="preserve">Local Context and </w:t>
      </w:r>
      <w:r w:rsidR="004E14A5">
        <w:rPr>
          <w:b/>
          <w:sz w:val="24"/>
          <w:szCs w:val="24"/>
        </w:rPr>
        <w:t>Current Service Offer</w:t>
      </w:r>
    </w:p>
    <w:p w:rsidR="00BC7AAA" w:rsidRPr="00CF1B25" w:rsidRDefault="00BC7AAA" w:rsidP="00BC7AAA">
      <w:pPr>
        <w:rPr>
          <w:sz w:val="24"/>
          <w:szCs w:val="24"/>
        </w:rPr>
      </w:pPr>
      <w:r w:rsidRPr="00CF1B25">
        <w:rPr>
          <w:sz w:val="24"/>
          <w:szCs w:val="24"/>
        </w:rPr>
        <w:t>Data from the B&amp;NES Behaviour and Attendance panels for the 2014/15 academic year shows an increase in the number of children at School Action and School Action Plus who were referred to these panels for behaviour and support interventions. In 2012/13, there were 348 children referred; with 289 in 2013/14 and 487 in 2014/15.</w:t>
      </w:r>
    </w:p>
    <w:p w:rsidR="00AB3D06" w:rsidRPr="00086049" w:rsidRDefault="00AB3D06" w:rsidP="00BC7AAA">
      <w:pPr>
        <w:rPr>
          <w:b/>
          <w:sz w:val="24"/>
          <w:szCs w:val="24"/>
        </w:rPr>
      </w:pPr>
      <w:r w:rsidRPr="00086049">
        <w:rPr>
          <w:b/>
          <w:sz w:val="24"/>
          <w:szCs w:val="24"/>
        </w:rPr>
        <w:t>Permanent Exclusions</w:t>
      </w:r>
      <w:r w:rsidR="0039569D">
        <w:rPr>
          <w:b/>
          <w:sz w:val="24"/>
          <w:szCs w:val="24"/>
        </w:rPr>
        <w:t xml:space="preserve"> from B&amp;NES schools</w:t>
      </w:r>
      <w:r w:rsidRPr="00086049">
        <w:rPr>
          <w:b/>
          <w:sz w:val="24"/>
          <w:szCs w:val="24"/>
        </w:rPr>
        <w:t xml:space="preserve"> by Academic Year</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AB3D06" w:rsidTr="00AB3D06">
        <w:tc>
          <w:tcPr>
            <w:tcW w:w="1320" w:type="dxa"/>
          </w:tcPr>
          <w:p w:rsidR="00AB3D06" w:rsidRPr="00B75AC5" w:rsidRDefault="00B75AC5" w:rsidP="00BC7AAA">
            <w:pPr>
              <w:rPr>
                <w:b/>
                <w:sz w:val="24"/>
                <w:szCs w:val="24"/>
              </w:rPr>
            </w:pPr>
            <w:r w:rsidRPr="00B75AC5">
              <w:rPr>
                <w:b/>
                <w:sz w:val="24"/>
                <w:szCs w:val="24"/>
              </w:rPr>
              <w:t>Year</w:t>
            </w:r>
          </w:p>
        </w:tc>
        <w:tc>
          <w:tcPr>
            <w:tcW w:w="1320" w:type="dxa"/>
          </w:tcPr>
          <w:p w:rsidR="00AB3D06" w:rsidRDefault="005B1241" w:rsidP="00BC7AAA">
            <w:pPr>
              <w:rPr>
                <w:sz w:val="24"/>
                <w:szCs w:val="24"/>
              </w:rPr>
            </w:pPr>
            <w:r>
              <w:rPr>
                <w:sz w:val="24"/>
                <w:szCs w:val="24"/>
              </w:rPr>
              <w:t>2009/10</w:t>
            </w:r>
          </w:p>
        </w:tc>
        <w:tc>
          <w:tcPr>
            <w:tcW w:w="1320" w:type="dxa"/>
          </w:tcPr>
          <w:p w:rsidR="00AB3D06" w:rsidRDefault="005B1241" w:rsidP="00BC7AAA">
            <w:pPr>
              <w:rPr>
                <w:sz w:val="24"/>
                <w:szCs w:val="24"/>
              </w:rPr>
            </w:pPr>
            <w:r>
              <w:rPr>
                <w:sz w:val="24"/>
                <w:szCs w:val="24"/>
              </w:rPr>
              <w:t>2010/11</w:t>
            </w:r>
          </w:p>
        </w:tc>
        <w:tc>
          <w:tcPr>
            <w:tcW w:w="1320" w:type="dxa"/>
          </w:tcPr>
          <w:p w:rsidR="00AB3D06" w:rsidRDefault="005B1241" w:rsidP="00BC7AAA">
            <w:pPr>
              <w:rPr>
                <w:sz w:val="24"/>
                <w:szCs w:val="24"/>
              </w:rPr>
            </w:pPr>
            <w:r>
              <w:rPr>
                <w:sz w:val="24"/>
                <w:szCs w:val="24"/>
              </w:rPr>
              <w:t>2011/12</w:t>
            </w:r>
          </w:p>
        </w:tc>
        <w:tc>
          <w:tcPr>
            <w:tcW w:w="1320" w:type="dxa"/>
          </w:tcPr>
          <w:p w:rsidR="00AB3D06" w:rsidRDefault="005B1241" w:rsidP="005B1241">
            <w:pPr>
              <w:rPr>
                <w:sz w:val="24"/>
                <w:szCs w:val="24"/>
              </w:rPr>
            </w:pPr>
            <w:r>
              <w:rPr>
                <w:sz w:val="24"/>
                <w:szCs w:val="24"/>
              </w:rPr>
              <w:t>2012/13</w:t>
            </w:r>
          </w:p>
        </w:tc>
        <w:tc>
          <w:tcPr>
            <w:tcW w:w="1321" w:type="dxa"/>
          </w:tcPr>
          <w:p w:rsidR="00AB3D06" w:rsidRDefault="005B1241" w:rsidP="00BC7AAA">
            <w:pPr>
              <w:rPr>
                <w:sz w:val="24"/>
                <w:szCs w:val="24"/>
              </w:rPr>
            </w:pPr>
            <w:r>
              <w:rPr>
                <w:sz w:val="24"/>
                <w:szCs w:val="24"/>
              </w:rPr>
              <w:t>2013/14</w:t>
            </w:r>
          </w:p>
        </w:tc>
        <w:tc>
          <w:tcPr>
            <w:tcW w:w="1321" w:type="dxa"/>
          </w:tcPr>
          <w:p w:rsidR="00AB3D06" w:rsidRDefault="005B1241" w:rsidP="00BC7AAA">
            <w:pPr>
              <w:rPr>
                <w:sz w:val="24"/>
                <w:szCs w:val="24"/>
              </w:rPr>
            </w:pPr>
            <w:r>
              <w:rPr>
                <w:sz w:val="24"/>
                <w:szCs w:val="24"/>
              </w:rPr>
              <w:t>2014/15</w:t>
            </w:r>
          </w:p>
        </w:tc>
      </w:tr>
      <w:tr w:rsidR="004B5D7F" w:rsidTr="004B5D7F">
        <w:trPr>
          <w:trHeight w:val="330"/>
        </w:trPr>
        <w:tc>
          <w:tcPr>
            <w:tcW w:w="1320" w:type="dxa"/>
            <w:vMerge w:val="restart"/>
          </w:tcPr>
          <w:p w:rsidR="004B5D7F" w:rsidRPr="00B75AC5" w:rsidRDefault="004B5D7F" w:rsidP="00BC7AAA">
            <w:pPr>
              <w:rPr>
                <w:b/>
                <w:sz w:val="24"/>
                <w:szCs w:val="24"/>
              </w:rPr>
            </w:pPr>
            <w:r w:rsidRPr="00B75AC5">
              <w:rPr>
                <w:b/>
                <w:sz w:val="24"/>
                <w:szCs w:val="24"/>
              </w:rPr>
              <w:t>No. of Pupils</w:t>
            </w:r>
          </w:p>
        </w:tc>
        <w:tc>
          <w:tcPr>
            <w:tcW w:w="1320" w:type="dxa"/>
          </w:tcPr>
          <w:p w:rsidR="004B5D7F" w:rsidRDefault="004B5D7F" w:rsidP="00BC7AAA">
            <w:pPr>
              <w:rPr>
                <w:sz w:val="24"/>
                <w:szCs w:val="24"/>
              </w:rPr>
            </w:pPr>
            <w:r>
              <w:rPr>
                <w:sz w:val="24"/>
                <w:szCs w:val="24"/>
              </w:rPr>
              <w:t xml:space="preserve">    5</w:t>
            </w:r>
          </w:p>
        </w:tc>
        <w:tc>
          <w:tcPr>
            <w:tcW w:w="1320" w:type="dxa"/>
          </w:tcPr>
          <w:p w:rsidR="004B5D7F" w:rsidRDefault="004B5D7F" w:rsidP="00BC7AAA">
            <w:pPr>
              <w:rPr>
                <w:sz w:val="24"/>
                <w:szCs w:val="24"/>
              </w:rPr>
            </w:pPr>
            <w:r>
              <w:rPr>
                <w:sz w:val="24"/>
                <w:szCs w:val="24"/>
              </w:rPr>
              <w:t xml:space="preserve">      13</w:t>
            </w:r>
          </w:p>
        </w:tc>
        <w:tc>
          <w:tcPr>
            <w:tcW w:w="1320" w:type="dxa"/>
          </w:tcPr>
          <w:p w:rsidR="004B5D7F" w:rsidRDefault="004B5D7F" w:rsidP="00BC7AAA">
            <w:pPr>
              <w:rPr>
                <w:sz w:val="24"/>
                <w:szCs w:val="24"/>
              </w:rPr>
            </w:pPr>
            <w:r>
              <w:rPr>
                <w:sz w:val="24"/>
                <w:szCs w:val="24"/>
              </w:rPr>
              <w:t xml:space="preserve">      16</w:t>
            </w:r>
          </w:p>
        </w:tc>
        <w:tc>
          <w:tcPr>
            <w:tcW w:w="1320" w:type="dxa"/>
          </w:tcPr>
          <w:p w:rsidR="004B5D7F" w:rsidRDefault="004B5D7F" w:rsidP="00BC7AAA">
            <w:pPr>
              <w:rPr>
                <w:sz w:val="24"/>
                <w:szCs w:val="24"/>
              </w:rPr>
            </w:pPr>
            <w:r>
              <w:rPr>
                <w:sz w:val="24"/>
                <w:szCs w:val="24"/>
              </w:rPr>
              <w:t xml:space="preserve">     21</w:t>
            </w:r>
          </w:p>
        </w:tc>
        <w:tc>
          <w:tcPr>
            <w:tcW w:w="1321" w:type="dxa"/>
          </w:tcPr>
          <w:p w:rsidR="004B5D7F" w:rsidRDefault="004B5D7F" w:rsidP="00BC7AAA">
            <w:pPr>
              <w:rPr>
                <w:sz w:val="24"/>
                <w:szCs w:val="24"/>
              </w:rPr>
            </w:pPr>
            <w:r>
              <w:rPr>
                <w:sz w:val="24"/>
                <w:szCs w:val="24"/>
              </w:rPr>
              <w:t xml:space="preserve">    15</w:t>
            </w:r>
          </w:p>
        </w:tc>
        <w:tc>
          <w:tcPr>
            <w:tcW w:w="1321" w:type="dxa"/>
          </w:tcPr>
          <w:p w:rsidR="004B5D7F" w:rsidRDefault="004B5D7F" w:rsidP="00BC7AAA">
            <w:pPr>
              <w:rPr>
                <w:sz w:val="24"/>
                <w:szCs w:val="24"/>
              </w:rPr>
            </w:pPr>
            <w:r>
              <w:rPr>
                <w:sz w:val="24"/>
                <w:szCs w:val="24"/>
              </w:rPr>
              <w:t xml:space="preserve">      24</w:t>
            </w:r>
          </w:p>
        </w:tc>
      </w:tr>
      <w:tr w:rsidR="004B5D7F" w:rsidTr="004B5D7F">
        <w:trPr>
          <w:trHeight w:val="180"/>
        </w:trPr>
        <w:tc>
          <w:tcPr>
            <w:tcW w:w="1320" w:type="dxa"/>
            <w:vMerge/>
          </w:tcPr>
          <w:p w:rsidR="004B5D7F" w:rsidRPr="00B75AC5" w:rsidRDefault="004B5D7F" w:rsidP="00BC7AAA">
            <w:pPr>
              <w:rPr>
                <w:b/>
                <w:sz w:val="24"/>
                <w:szCs w:val="24"/>
              </w:rPr>
            </w:pPr>
          </w:p>
        </w:tc>
        <w:tc>
          <w:tcPr>
            <w:tcW w:w="1320" w:type="dxa"/>
          </w:tcPr>
          <w:p w:rsidR="004B5D7F" w:rsidRPr="00477E64" w:rsidRDefault="006A10D3" w:rsidP="006A10D3">
            <w:pPr>
              <w:rPr>
                <w:sz w:val="24"/>
                <w:szCs w:val="24"/>
              </w:rPr>
            </w:pPr>
            <w:r w:rsidRPr="00477E64">
              <w:rPr>
                <w:sz w:val="24"/>
                <w:szCs w:val="24"/>
              </w:rPr>
              <w:t>Pri          1</w:t>
            </w:r>
          </w:p>
        </w:tc>
        <w:tc>
          <w:tcPr>
            <w:tcW w:w="1320" w:type="dxa"/>
          </w:tcPr>
          <w:p w:rsidR="004B5D7F" w:rsidRDefault="006A10D3" w:rsidP="00BC7AAA">
            <w:pPr>
              <w:rPr>
                <w:sz w:val="24"/>
                <w:szCs w:val="24"/>
              </w:rPr>
            </w:pPr>
            <w:r>
              <w:rPr>
                <w:sz w:val="24"/>
                <w:szCs w:val="24"/>
              </w:rPr>
              <w:t>Pri         0</w:t>
            </w:r>
          </w:p>
        </w:tc>
        <w:tc>
          <w:tcPr>
            <w:tcW w:w="1320" w:type="dxa"/>
          </w:tcPr>
          <w:p w:rsidR="004B5D7F" w:rsidRDefault="006A10D3" w:rsidP="00BC7AAA">
            <w:pPr>
              <w:rPr>
                <w:sz w:val="24"/>
                <w:szCs w:val="24"/>
              </w:rPr>
            </w:pPr>
            <w:r>
              <w:rPr>
                <w:sz w:val="24"/>
                <w:szCs w:val="24"/>
              </w:rPr>
              <w:t>Pri        0</w:t>
            </w:r>
          </w:p>
        </w:tc>
        <w:tc>
          <w:tcPr>
            <w:tcW w:w="1320" w:type="dxa"/>
          </w:tcPr>
          <w:p w:rsidR="004B5D7F" w:rsidRDefault="006A10D3" w:rsidP="00BC7AAA">
            <w:pPr>
              <w:rPr>
                <w:sz w:val="24"/>
                <w:szCs w:val="24"/>
              </w:rPr>
            </w:pPr>
            <w:r>
              <w:rPr>
                <w:sz w:val="24"/>
                <w:szCs w:val="24"/>
              </w:rPr>
              <w:t>Pri       2</w:t>
            </w:r>
          </w:p>
        </w:tc>
        <w:tc>
          <w:tcPr>
            <w:tcW w:w="1321" w:type="dxa"/>
          </w:tcPr>
          <w:p w:rsidR="004B5D7F" w:rsidRDefault="006A10D3" w:rsidP="00BC7AAA">
            <w:pPr>
              <w:rPr>
                <w:sz w:val="24"/>
                <w:szCs w:val="24"/>
              </w:rPr>
            </w:pPr>
            <w:r>
              <w:rPr>
                <w:sz w:val="24"/>
                <w:szCs w:val="24"/>
              </w:rPr>
              <w:t xml:space="preserve">Pri </w:t>
            </w:r>
            <w:r w:rsidR="00A512EB">
              <w:rPr>
                <w:sz w:val="24"/>
                <w:szCs w:val="24"/>
              </w:rPr>
              <w:t xml:space="preserve"> 3</w:t>
            </w:r>
          </w:p>
        </w:tc>
        <w:tc>
          <w:tcPr>
            <w:tcW w:w="1321" w:type="dxa"/>
          </w:tcPr>
          <w:p w:rsidR="004B5D7F" w:rsidRDefault="00A512EB" w:rsidP="00BC7AAA">
            <w:pPr>
              <w:rPr>
                <w:sz w:val="24"/>
                <w:szCs w:val="24"/>
              </w:rPr>
            </w:pPr>
            <w:r>
              <w:rPr>
                <w:sz w:val="24"/>
                <w:szCs w:val="24"/>
              </w:rPr>
              <w:t xml:space="preserve">Pri </w:t>
            </w:r>
            <w:r w:rsidR="00E5628D">
              <w:rPr>
                <w:sz w:val="24"/>
                <w:szCs w:val="24"/>
              </w:rPr>
              <w:t xml:space="preserve">   6</w:t>
            </w:r>
          </w:p>
        </w:tc>
      </w:tr>
      <w:tr w:rsidR="004B5D7F" w:rsidTr="00AB3D06">
        <w:trPr>
          <w:trHeight w:val="98"/>
        </w:trPr>
        <w:tc>
          <w:tcPr>
            <w:tcW w:w="1320" w:type="dxa"/>
            <w:vMerge/>
          </w:tcPr>
          <w:p w:rsidR="004B5D7F" w:rsidRPr="00B75AC5" w:rsidRDefault="004B5D7F" w:rsidP="00BC7AAA">
            <w:pPr>
              <w:rPr>
                <w:b/>
                <w:sz w:val="24"/>
                <w:szCs w:val="24"/>
              </w:rPr>
            </w:pPr>
          </w:p>
        </w:tc>
        <w:tc>
          <w:tcPr>
            <w:tcW w:w="1320" w:type="dxa"/>
          </w:tcPr>
          <w:p w:rsidR="004B5D7F" w:rsidRPr="00477E64" w:rsidRDefault="006A10D3" w:rsidP="006A10D3">
            <w:pPr>
              <w:rPr>
                <w:sz w:val="24"/>
                <w:szCs w:val="24"/>
              </w:rPr>
            </w:pPr>
            <w:r w:rsidRPr="00477E64">
              <w:rPr>
                <w:sz w:val="24"/>
                <w:szCs w:val="24"/>
              </w:rPr>
              <w:t>Sec         4</w:t>
            </w:r>
          </w:p>
        </w:tc>
        <w:tc>
          <w:tcPr>
            <w:tcW w:w="1320" w:type="dxa"/>
          </w:tcPr>
          <w:p w:rsidR="004B5D7F" w:rsidRDefault="006A10D3" w:rsidP="00BC7AAA">
            <w:pPr>
              <w:rPr>
                <w:sz w:val="24"/>
                <w:szCs w:val="24"/>
              </w:rPr>
            </w:pPr>
            <w:r>
              <w:rPr>
                <w:sz w:val="24"/>
                <w:szCs w:val="24"/>
              </w:rPr>
              <w:t>Sec        13</w:t>
            </w:r>
          </w:p>
        </w:tc>
        <w:tc>
          <w:tcPr>
            <w:tcW w:w="1320" w:type="dxa"/>
          </w:tcPr>
          <w:p w:rsidR="004B5D7F" w:rsidRDefault="006A10D3" w:rsidP="00BC7AAA">
            <w:pPr>
              <w:rPr>
                <w:sz w:val="24"/>
                <w:szCs w:val="24"/>
              </w:rPr>
            </w:pPr>
            <w:r>
              <w:rPr>
                <w:sz w:val="24"/>
                <w:szCs w:val="24"/>
              </w:rPr>
              <w:t>Sec       16</w:t>
            </w:r>
          </w:p>
        </w:tc>
        <w:tc>
          <w:tcPr>
            <w:tcW w:w="1320" w:type="dxa"/>
          </w:tcPr>
          <w:p w:rsidR="004B5D7F" w:rsidRDefault="006A10D3" w:rsidP="00BC7AAA">
            <w:pPr>
              <w:rPr>
                <w:sz w:val="24"/>
                <w:szCs w:val="24"/>
              </w:rPr>
            </w:pPr>
            <w:r>
              <w:rPr>
                <w:sz w:val="24"/>
                <w:szCs w:val="24"/>
              </w:rPr>
              <w:t>Sec      19</w:t>
            </w:r>
          </w:p>
        </w:tc>
        <w:tc>
          <w:tcPr>
            <w:tcW w:w="1321" w:type="dxa"/>
          </w:tcPr>
          <w:p w:rsidR="004B5D7F" w:rsidRDefault="00A512EB" w:rsidP="00BC7AAA">
            <w:pPr>
              <w:rPr>
                <w:sz w:val="24"/>
                <w:szCs w:val="24"/>
              </w:rPr>
            </w:pPr>
            <w:r>
              <w:rPr>
                <w:sz w:val="24"/>
                <w:szCs w:val="24"/>
              </w:rPr>
              <w:t>Sec   12</w:t>
            </w:r>
          </w:p>
        </w:tc>
        <w:tc>
          <w:tcPr>
            <w:tcW w:w="1321" w:type="dxa"/>
          </w:tcPr>
          <w:p w:rsidR="004B5D7F" w:rsidRDefault="00E5628D" w:rsidP="00BC7AAA">
            <w:pPr>
              <w:rPr>
                <w:sz w:val="24"/>
                <w:szCs w:val="24"/>
              </w:rPr>
            </w:pPr>
            <w:r>
              <w:rPr>
                <w:sz w:val="24"/>
                <w:szCs w:val="24"/>
              </w:rPr>
              <w:t>Sec   18</w:t>
            </w:r>
          </w:p>
        </w:tc>
      </w:tr>
    </w:tbl>
    <w:p w:rsidR="00AB3D06" w:rsidRPr="00AB3D06" w:rsidRDefault="005B1241" w:rsidP="00BC7AAA">
      <w:pPr>
        <w:rPr>
          <w:sz w:val="24"/>
          <w:szCs w:val="24"/>
        </w:rPr>
      </w:pPr>
      <w:r>
        <w:rPr>
          <w:sz w:val="24"/>
          <w:szCs w:val="24"/>
        </w:rPr>
        <w:t xml:space="preserve">   </w:t>
      </w:r>
    </w:p>
    <w:p w:rsidR="00BC7AAA" w:rsidRDefault="00BC7AAA" w:rsidP="00BC7AAA">
      <w:pPr>
        <w:rPr>
          <w:sz w:val="24"/>
          <w:szCs w:val="24"/>
        </w:rPr>
      </w:pPr>
      <w:r w:rsidRPr="00CF1B25">
        <w:rPr>
          <w:sz w:val="24"/>
          <w:szCs w:val="24"/>
        </w:rPr>
        <w:t>Data for fixed period exclusions, from the DfE First  National Statistical Returns for 2013/14 shows , that 89 pupils were excluded for a fixed period from B&amp;NES primary schools collectively, these pupils were out of school for a total of 159 days. During the same period, 694 pupils were excluded for a fixed period of more than one day from B&amp;NES secondary schools, and collectively, these pupils were out of school for a total of 1,248 days.</w:t>
      </w:r>
    </w:p>
    <w:p w:rsidR="00950AA0" w:rsidRDefault="00950AA0" w:rsidP="00BC7AAA">
      <w:pPr>
        <w:rPr>
          <w:sz w:val="24"/>
          <w:szCs w:val="24"/>
        </w:rPr>
      </w:pPr>
    </w:p>
    <w:p w:rsidR="00610C13" w:rsidRDefault="00610C13" w:rsidP="00BC7AAA">
      <w:pPr>
        <w:rPr>
          <w:b/>
          <w:sz w:val="24"/>
          <w:szCs w:val="24"/>
        </w:rPr>
      </w:pPr>
      <w:r w:rsidRPr="00610C13">
        <w:rPr>
          <w:b/>
          <w:sz w:val="24"/>
          <w:szCs w:val="24"/>
        </w:rPr>
        <w:t>B&amp;NES In</w:t>
      </w:r>
      <w:r w:rsidR="007C747C">
        <w:rPr>
          <w:b/>
          <w:sz w:val="24"/>
          <w:szCs w:val="24"/>
        </w:rPr>
        <w:t>-</w:t>
      </w:r>
      <w:r w:rsidRPr="00610C13">
        <w:rPr>
          <w:b/>
          <w:sz w:val="24"/>
          <w:szCs w:val="24"/>
        </w:rPr>
        <w:t xml:space="preserve"> Year Fair Access Data for the Academic Year 2011 </w:t>
      </w:r>
      <w:r w:rsidR="000C15B7">
        <w:rPr>
          <w:b/>
          <w:sz w:val="24"/>
          <w:szCs w:val="24"/>
        </w:rPr>
        <w:t>–</w:t>
      </w:r>
      <w:r w:rsidRPr="00610C13">
        <w:rPr>
          <w:b/>
          <w:sz w:val="24"/>
          <w:szCs w:val="24"/>
        </w:rPr>
        <w:t xml:space="preserve"> 12</w:t>
      </w:r>
    </w:p>
    <w:tbl>
      <w:tblPr>
        <w:tblStyle w:val="TableGrid"/>
        <w:tblW w:w="0" w:type="auto"/>
        <w:tblLook w:val="04A0" w:firstRow="1" w:lastRow="0" w:firstColumn="1" w:lastColumn="0" w:noHBand="0" w:noVBand="1"/>
      </w:tblPr>
      <w:tblGrid>
        <w:gridCol w:w="1848"/>
        <w:gridCol w:w="1848"/>
        <w:gridCol w:w="1848"/>
        <w:gridCol w:w="1849"/>
        <w:gridCol w:w="1849"/>
      </w:tblGrid>
      <w:tr w:rsidR="000C15B7" w:rsidTr="000C15B7">
        <w:tc>
          <w:tcPr>
            <w:tcW w:w="1848" w:type="dxa"/>
          </w:tcPr>
          <w:p w:rsidR="000C15B7" w:rsidRDefault="00C87C9E" w:rsidP="00BC7AAA">
            <w:pPr>
              <w:rPr>
                <w:b/>
                <w:sz w:val="24"/>
                <w:szCs w:val="24"/>
              </w:rPr>
            </w:pPr>
            <w:r>
              <w:rPr>
                <w:b/>
                <w:sz w:val="24"/>
                <w:szCs w:val="24"/>
              </w:rPr>
              <w:t>Fair Access Panel Area</w:t>
            </w:r>
          </w:p>
        </w:tc>
        <w:tc>
          <w:tcPr>
            <w:tcW w:w="1848" w:type="dxa"/>
          </w:tcPr>
          <w:p w:rsidR="000C15B7" w:rsidRDefault="00C87C9E" w:rsidP="00BC7AAA">
            <w:pPr>
              <w:rPr>
                <w:b/>
                <w:sz w:val="24"/>
                <w:szCs w:val="24"/>
              </w:rPr>
            </w:pPr>
            <w:r>
              <w:rPr>
                <w:b/>
                <w:sz w:val="24"/>
                <w:szCs w:val="24"/>
              </w:rPr>
              <w:t>No. of Cases</w:t>
            </w:r>
          </w:p>
        </w:tc>
        <w:tc>
          <w:tcPr>
            <w:tcW w:w="1848" w:type="dxa"/>
          </w:tcPr>
          <w:p w:rsidR="000C15B7" w:rsidRDefault="00C87C9E" w:rsidP="00BC7AAA">
            <w:pPr>
              <w:rPr>
                <w:b/>
                <w:sz w:val="24"/>
                <w:szCs w:val="24"/>
              </w:rPr>
            </w:pPr>
            <w:r>
              <w:rPr>
                <w:b/>
                <w:sz w:val="24"/>
                <w:szCs w:val="24"/>
              </w:rPr>
              <w:t>38+Days without placement</w:t>
            </w:r>
          </w:p>
        </w:tc>
        <w:tc>
          <w:tcPr>
            <w:tcW w:w="1849" w:type="dxa"/>
          </w:tcPr>
          <w:p w:rsidR="000C15B7" w:rsidRDefault="00C87C9E" w:rsidP="00BC7AAA">
            <w:pPr>
              <w:rPr>
                <w:b/>
                <w:sz w:val="24"/>
                <w:szCs w:val="24"/>
              </w:rPr>
            </w:pPr>
            <w:r>
              <w:rPr>
                <w:b/>
                <w:sz w:val="24"/>
                <w:szCs w:val="24"/>
              </w:rPr>
              <w:t>69+Days without placement</w:t>
            </w:r>
          </w:p>
        </w:tc>
        <w:tc>
          <w:tcPr>
            <w:tcW w:w="1849" w:type="dxa"/>
          </w:tcPr>
          <w:p w:rsidR="000C15B7" w:rsidRDefault="00C87C9E" w:rsidP="00C87C9E">
            <w:pPr>
              <w:rPr>
                <w:b/>
                <w:sz w:val="24"/>
                <w:szCs w:val="24"/>
              </w:rPr>
            </w:pPr>
            <w:r>
              <w:rPr>
                <w:b/>
                <w:sz w:val="24"/>
                <w:szCs w:val="24"/>
              </w:rPr>
              <w:t>100+ Days without placement</w:t>
            </w:r>
          </w:p>
        </w:tc>
      </w:tr>
      <w:tr w:rsidR="000A2436" w:rsidTr="000C15B7">
        <w:tc>
          <w:tcPr>
            <w:tcW w:w="1848" w:type="dxa"/>
          </w:tcPr>
          <w:p w:rsidR="000A2436" w:rsidRPr="000A2436" w:rsidRDefault="000A2436" w:rsidP="00BC7AAA">
            <w:pPr>
              <w:rPr>
                <w:sz w:val="24"/>
                <w:szCs w:val="24"/>
              </w:rPr>
            </w:pPr>
            <w:r w:rsidRPr="000A2436">
              <w:rPr>
                <w:sz w:val="24"/>
                <w:szCs w:val="24"/>
              </w:rPr>
              <w:t>Bath Panel</w:t>
            </w:r>
          </w:p>
        </w:tc>
        <w:tc>
          <w:tcPr>
            <w:tcW w:w="1848" w:type="dxa"/>
          </w:tcPr>
          <w:p w:rsidR="000A2436" w:rsidRPr="00645A53" w:rsidRDefault="000A2436" w:rsidP="00BC7AAA">
            <w:pPr>
              <w:rPr>
                <w:sz w:val="24"/>
                <w:szCs w:val="24"/>
              </w:rPr>
            </w:pPr>
            <w:r>
              <w:rPr>
                <w:b/>
                <w:sz w:val="24"/>
                <w:szCs w:val="24"/>
              </w:rPr>
              <w:t xml:space="preserve">      </w:t>
            </w:r>
            <w:r w:rsidRPr="00645A53">
              <w:rPr>
                <w:sz w:val="24"/>
                <w:szCs w:val="24"/>
              </w:rPr>
              <w:t xml:space="preserve"> 31</w:t>
            </w:r>
          </w:p>
        </w:tc>
        <w:tc>
          <w:tcPr>
            <w:tcW w:w="1848" w:type="dxa"/>
          </w:tcPr>
          <w:p w:rsidR="000A2436" w:rsidRPr="00645A53" w:rsidRDefault="000A2436" w:rsidP="00645A53">
            <w:pPr>
              <w:rPr>
                <w:sz w:val="24"/>
                <w:szCs w:val="24"/>
              </w:rPr>
            </w:pPr>
            <w:r>
              <w:rPr>
                <w:b/>
                <w:sz w:val="24"/>
                <w:szCs w:val="24"/>
              </w:rPr>
              <w:t xml:space="preserve">        </w:t>
            </w:r>
            <w:r w:rsidR="00645A53" w:rsidRPr="00645A53">
              <w:rPr>
                <w:sz w:val="24"/>
                <w:szCs w:val="24"/>
              </w:rPr>
              <w:t>16</w:t>
            </w:r>
          </w:p>
        </w:tc>
        <w:tc>
          <w:tcPr>
            <w:tcW w:w="1849" w:type="dxa"/>
          </w:tcPr>
          <w:p w:rsidR="000A2436" w:rsidRPr="00645A53" w:rsidRDefault="000A2436" w:rsidP="00BC7AAA">
            <w:pPr>
              <w:rPr>
                <w:sz w:val="24"/>
                <w:szCs w:val="24"/>
              </w:rPr>
            </w:pPr>
            <w:r>
              <w:rPr>
                <w:b/>
                <w:sz w:val="24"/>
                <w:szCs w:val="24"/>
              </w:rPr>
              <w:t xml:space="preserve">   </w:t>
            </w:r>
            <w:r w:rsidR="00645A53">
              <w:rPr>
                <w:b/>
                <w:sz w:val="24"/>
                <w:szCs w:val="24"/>
              </w:rPr>
              <w:t xml:space="preserve">   </w:t>
            </w:r>
            <w:r w:rsidR="00645A53" w:rsidRPr="00645A53">
              <w:rPr>
                <w:sz w:val="24"/>
                <w:szCs w:val="24"/>
              </w:rPr>
              <w:t>9</w:t>
            </w:r>
          </w:p>
        </w:tc>
        <w:tc>
          <w:tcPr>
            <w:tcW w:w="1849" w:type="dxa"/>
          </w:tcPr>
          <w:p w:rsidR="000A2436" w:rsidRPr="00645A53" w:rsidRDefault="00645A53" w:rsidP="00C87C9E">
            <w:pPr>
              <w:rPr>
                <w:sz w:val="24"/>
                <w:szCs w:val="24"/>
              </w:rPr>
            </w:pPr>
            <w:r>
              <w:rPr>
                <w:b/>
                <w:sz w:val="24"/>
                <w:szCs w:val="24"/>
              </w:rPr>
              <w:t xml:space="preserve">        </w:t>
            </w:r>
            <w:r w:rsidRPr="00645A53">
              <w:rPr>
                <w:sz w:val="24"/>
                <w:szCs w:val="24"/>
              </w:rPr>
              <w:t>6</w:t>
            </w:r>
          </w:p>
        </w:tc>
      </w:tr>
      <w:tr w:rsidR="009658F3" w:rsidTr="000C15B7">
        <w:tc>
          <w:tcPr>
            <w:tcW w:w="1848" w:type="dxa"/>
          </w:tcPr>
          <w:p w:rsidR="009658F3" w:rsidRPr="000A2436" w:rsidRDefault="009658F3" w:rsidP="00BC7AAA">
            <w:pPr>
              <w:rPr>
                <w:sz w:val="24"/>
                <w:szCs w:val="24"/>
              </w:rPr>
            </w:pPr>
            <w:r>
              <w:rPr>
                <w:sz w:val="24"/>
                <w:szCs w:val="24"/>
              </w:rPr>
              <w:t>Keynsham and Chew Valley Panel</w:t>
            </w:r>
          </w:p>
        </w:tc>
        <w:tc>
          <w:tcPr>
            <w:tcW w:w="1848" w:type="dxa"/>
          </w:tcPr>
          <w:p w:rsidR="009658F3" w:rsidRPr="009658F3" w:rsidRDefault="009658F3" w:rsidP="00BC7AAA">
            <w:pPr>
              <w:rPr>
                <w:sz w:val="24"/>
                <w:szCs w:val="24"/>
              </w:rPr>
            </w:pPr>
            <w:r>
              <w:rPr>
                <w:b/>
                <w:sz w:val="24"/>
                <w:szCs w:val="24"/>
              </w:rPr>
              <w:t xml:space="preserve">        </w:t>
            </w:r>
            <w:r w:rsidRPr="009658F3">
              <w:rPr>
                <w:sz w:val="24"/>
                <w:szCs w:val="24"/>
              </w:rPr>
              <w:t xml:space="preserve">8 </w:t>
            </w:r>
          </w:p>
        </w:tc>
        <w:tc>
          <w:tcPr>
            <w:tcW w:w="1848" w:type="dxa"/>
          </w:tcPr>
          <w:p w:rsidR="009658F3" w:rsidRPr="009658F3" w:rsidRDefault="009658F3" w:rsidP="00645A53">
            <w:pPr>
              <w:rPr>
                <w:sz w:val="24"/>
                <w:szCs w:val="24"/>
              </w:rPr>
            </w:pPr>
            <w:r>
              <w:rPr>
                <w:b/>
                <w:sz w:val="24"/>
                <w:szCs w:val="24"/>
              </w:rPr>
              <w:t xml:space="preserve">        </w:t>
            </w:r>
            <w:r w:rsidRPr="009658F3">
              <w:rPr>
                <w:sz w:val="24"/>
                <w:szCs w:val="24"/>
              </w:rPr>
              <w:t xml:space="preserve"> 7</w:t>
            </w:r>
          </w:p>
        </w:tc>
        <w:tc>
          <w:tcPr>
            <w:tcW w:w="1849" w:type="dxa"/>
          </w:tcPr>
          <w:p w:rsidR="009658F3" w:rsidRPr="009658F3" w:rsidRDefault="009658F3" w:rsidP="00BC7AAA">
            <w:pPr>
              <w:rPr>
                <w:sz w:val="24"/>
                <w:szCs w:val="24"/>
              </w:rPr>
            </w:pPr>
            <w:r>
              <w:rPr>
                <w:b/>
                <w:sz w:val="24"/>
                <w:szCs w:val="24"/>
              </w:rPr>
              <w:t xml:space="preserve">     </w:t>
            </w:r>
            <w:r w:rsidRPr="009658F3">
              <w:rPr>
                <w:sz w:val="24"/>
                <w:szCs w:val="24"/>
              </w:rPr>
              <w:t xml:space="preserve"> 1</w:t>
            </w:r>
          </w:p>
        </w:tc>
        <w:tc>
          <w:tcPr>
            <w:tcW w:w="1849" w:type="dxa"/>
          </w:tcPr>
          <w:p w:rsidR="009658F3" w:rsidRPr="009658F3" w:rsidRDefault="009658F3" w:rsidP="00C87C9E">
            <w:pPr>
              <w:rPr>
                <w:sz w:val="24"/>
                <w:szCs w:val="24"/>
              </w:rPr>
            </w:pPr>
            <w:r>
              <w:rPr>
                <w:b/>
                <w:sz w:val="24"/>
                <w:szCs w:val="24"/>
              </w:rPr>
              <w:t xml:space="preserve">        </w:t>
            </w:r>
            <w:r w:rsidRPr="009658F3">
              <w:rPr>
                <w:sz w:val="24"/>
                <w:szCs w:val="24"/>
              </w:rPr>
              <w:t>0</w:t>
            </w:r>
          </w:p>
        </w:tc>
      </w:tr>
      <w:tr w:rsidR="00034A6A" w:rsidTr="000C15B7">
        <w:tc>
          <w:tcPr>
            <w:tcW w:w="1848" w:type="dxa"/>
          </w:tcPr>
          <w:p w:rsidR="00034A6A" w:rsidRDefault="00034A6A" w:rsidP="00BC7AAA">
            <w:pPr>
              <w:rPr>
                <w:sz w:val="24"/>
                <w:szCs w:val="24"/>
              </w:rPr>
            </w:pPr>
            <w:r>
              <w:rPr>
                <w:sz w:val="24"/>
                <w:szCs w:val="24"/>
              </w:rPr>
              <w:t>Norton Radstock Panel</w:t>
            </w:r>
          </w:p>
        </w:tc>
        <w:tc>
          <w:tcPr>
            <w:tcW w:w="1848" w:type="dxa"/>
          </w:tcPr>
          <w:p w:rsidR="00034A6A" w:rsidRPr="00F20732" w:rsidRDefault="00F20732" w:rsidP="00BC7AAA">
            <w:pPr>
              <w:rPr>
                <w:sz w:val="24"/>
                <w:szCs w:val="24"/>
              </w:rPr>
            </w:pPr>
            <w:r>
              <w:rPr>
                <w:b/>
                <w:sz w:val="24"/>
                <w:szCs w:val="24"/>
              </w:rPr>
              <w:t xml:space="preserve">        </w:t>
            </w:r>
            <w:r w:rsidRPr="00F20732">
              <w:rPr>
                <w:sz w:val="24"/>
                <w:szCs w:val="24"/>
              </w:rPr>
              <w:t xml:space="preserve"> 12</w:t>
            </w:r>
          </w:p>
        </w:tc>
        <w:tc>
          <w:tcPr>
            <w:tcW w:w="1848" w:type="dxa"/>
          </w:tcPr>
          <w:p w:rsidR="00034A6A" w:rsidRPr="00F20732" w:rsidRDefault="00F20732" w:rsidP="00645A53">
            <w:pPr>
              <w:rPr>
                <w:sz w:val="24"/>
                <w:szCs w:val="24"/>
              </w:rPr>
            </w:pPr>
            <w:r w:rsidRPr="00F20732">
              <w:rPr>
                <w:sz w:val="24"/>
                <w:szCs w:val="24"/>
              </w:rPr>
              <w:t xml:space="preserve">          6</w:t>
            </w:r>
          </w:p>
        </w:tc>
        <w:tc>
          <w:tcPr>
            <w:tcW w:w="1849" w:type="dxa"/>
          </w:tcPr>
          <w:p w:rsidR="00034A6A" w:rsidRPr="00F20732" w:rsidRDefault="00F20732" w:rsidP="00BC7AAA">
            <w:pPr>
              <w:rPr>
                <w:sz w:val="24"/>
                <w:szCs w:val="24"/>
              </w:rPr>
            </w:pPr>
            <w:r>
              <w:rPr>
                <w:b/>
                <w:sz w:val="24"/>
                <w:szCs w:val="24"/>
              </w:rPr>
              <w:t xml:space="preserve">       </w:t>
            </w:r>
            <w:r w:rsidRPr="00F20732">
              <w:rPr>
                <w:sz w:val="24"/>
                <w:szCs w:val="24"/>
              </w:rPr>
              <w:t xml:space="preserve"> 1</w:t>
            </w:r>
          </w:p>
        </w:tc>
        <w:tc>
          <w:tcPr>
            <w:tcW w:w="1849" w:type="dxa"/>
          </w:tcPr>
          <w:p w:rsidR="00034A6A" w:rsidRPr="00F20732" w:rsidRDefault="00F20732" w:rsidP="00C87C9E">
            <w:pPr>
              <w:rPr>
                <w:sz w:val="24"/>
                <w:szCs w:val="24"/>
              </w:rPr>
            </w:pPr>
            <w:r>
              <w:rPr>
                <w:b/>
                <w:sz w:val="24"/>
                <w:szCs w:val="24"/>
              </w:rPr>
              <w:t xml:space="preserve">        </w:t>
            </w:r>
            <w:r w:rsidRPr="00F20732">
              <w:rPr>
                <w:sz w:val="24"/>
                <w:szCs w:val="24"/>
              </w:rPr>
              <w:t xml:space="preserve"> 1</w:t>
            </w:r>
          </w:p>
        </w:tc>
      </w:tr>
      <w:tr w:rsidR="00F20732" w:rsidTr="000C15B7">
        <w:tc>
          <w:tcPr>
            <w:tcW w:w="1848" w:type="dxa"/>
          </w:tcPr>
          <w:p w:rsidR="00F20732" w:rsidRPr="00F20732" w:rsidRDefault="00F20732" w:rsidP="00F20732">
            <w:pPr>
              <w:rPr>
                <w:b/>
                <w:sz w:val="24"/>
                <w:szCs w:val="24"/>
              </w:rPr>
            </w:pPr>
            <w:r w:rsidRPr="00F20732">
              <w:rPr>
                <w:b/>
                <w:sz w:val="24"/>
                <w:szCs w:val="24"/>
              </w:rPr>
              <w:t>Total</w:t>
            </w:r>
          </w:p>
        </w:tc>
        <w:tc>
          <w:tcPr>
            <w:tcW w:w="1848" w:type="dxa"/>
          </w:tcPr>
          <w:p w:rsidR="00F20732" w:rsidRDefault="00F20732" w:rsidP="00BC7AAA">
            <w:pPr>
              <w:rPr>
                <w:b/>
                <w:sz w:val="24"/>
                <w:szCs w:val="24"/>
              </w:rPr>
            </w:pPr>
            <w:r>
              <w:rPr>
                <w:b/>
                <w:sz w:val="24"/>
                <w:szCs w:val="24"/>
              </w:rPr>
              <w:t xml:space="preserve">          51</w:t>
            </w:r>
          </w:p>
        </w:tc>
        <w:tc>
          <w:tcPr>
            <w:tcW w:w="1848" w:type="dxa"/>
          </w:tcPr>
          <w:p w:rsidR="00F20732" w:rsidRPr="00F20732" w:rsidRDefault="00F20732" w:rsidP="00645A53">
            <w:pPr>
              <w:rPr>
                <w:b/>
                <w:sz w:val="24"/>
                <w:szCs w:val="24"/>
              </w:rPr>
            </w:pPr>
            <w:r>
              <w:rPr>
                <w:sz w:val="24"/>
                <w:szCs w:val="24"/>
              </w:rPr>
              <w:t xml:space="preserve">         </w:t>
            </w:r>
            <w:r w:rsidRPr="00F20732">
              <w:rPr>
                <w:b/>
                <w:sz w:val="24"/>
                <w:szCs w:val="24"/>
              </w:rPr>
              <w:t>29</w:t>
            </w:r>
          </w:p>
        </w:tc>
        <w:tc>
          <w:tcPr>
            <w:tcW w:w="1849" w:type="dxa"/>
          </w:tcPr>
          <w:p w:rsidR="00F20732" w:rsidRDefault="00F20732" w:rsidP="00BC7AAA">
            <w:pPr>
              <w:rPr>
                <w:b/>
                <w:sz w:val="24"/>
                <w:szCs w:val="24"/>
              </w:rPr>
            </w:pPr>
            <w:r>
              <w:rPr>
                <w:b/>
                <w:sz w:val="24"/>
                <w:szCs w:val="24"/>
              </w:rPr>
              <w:t xml:space="preserve">        11</w:t>
            </w:r>
          </w:p>
        </w:tc>
        <w:tc>
          <w:tcPr>
            <w:tcW w:w="1849" w:type="dxa"/>
          </w:tcPr>
          <w:p w:rsidR="00F20732" w:rsidRDefault="00F20732" w:rsidP="00C87C9E">
            <w:pPr>
              <w:rPr>
                <w:b/>
                <w:sz w:val="24"/>
                <w:szCs w:val="24"/>
              </w:rPr>
            </w:pPr>
            <w:r>
              <w:rPr>
                <w:b/>
                <w:sz w:val="24"/>
                <w:szCs w:val="24"/>
              </w:rPr>
              <w:t xml:space="preserve">          7</w:t>
            </w:r>
          </w:p>
        </w:tc>
      </w:tr>
    </w:tbl>
    <w:p w:rsidR="000C15B7" w:rsidRPr="00610C13" w:rsidRDefault="000C15B7" w:rsidP="00BC7AAA">
      <w:pPr>
        <w:rPr>
          <w:b/>
          <w:sz w:val="24"/>
          <w:szCs w:val="24"/>
        </w:rPr>
      </w:pPr>
    </w:p>
    <w:p w:rsidR="00BC7AAA" w:rsidRPr="00BC7B4F" w:rsidRDefault="00BC7B4F" w:rsidP="00996EE5">
      <w:pPr>
        <w:rPr>
          <w:sz w:val="24"/>
          <w:szCs w:val="24"/>
        </w:rPr>
      </w:pPr>
      <w:r w:rsidRPr="00BC7B4F">
        <w:rPr>
          <w:sz w:val="24"/>
          <w:szCs w:val="24"/>
        </w:rPr>
        <w:t>The above data</w:t>
      </w:r>
      <w:r>
        <w:rPr>
          <w:sz w:val="24"/>
          <w:szCs w:val="24"/>
        </w:rPr>
        <w:t xml:space="preserve"> and information highlights </w:t>
      </w:r>
      <w:r w:rsidR="00B87B9A">
        <w:rPr>
          <w:sz w:val="24"/>
          <w:szCs w:val="24"/>
        </w:rPr>
        <w:t>the growing pressure on the Authority`s current alternative education provision. With the steady growth in permanent exclusions from primary and secondary schools and the number of children who are out of school for extended periods, as shown in the Fair</w:t>
      </w:r>
      <w:r w:rsidR="000D6FFC">
        <w:rPr>
          <w:sz w:val="24"/>
          <w:szCs w:val="24"/>
        </w:rPr>
        <w:t xml:space="preserve"> Access</w:t>
      </w:r>
      <w:r w:rsidR="00B87B9A">
        <w:rPr>
          <w:sz w:val="24"/>
          <w:szCs w:val="24"/>
        </w:rPr>
        <w:t xml:space="preserve"> data; it is clear that there is an urgent need to re-configure the existing arrangements for providing alternative education for those who are out of school. </w:t>
      </w:r>
      <w:r w:rsidR="009164AF">
        <w:rPr>
          <w:sz w:val="24"/>
          <w:szCs w:val="24"/>
        </w:rPr>
        <w:t>There is a clear mis-match</w:t>
      </w:r>
      <w:r w:rsidR="00B87B9A">
        <w:rPr>
          <w:sz w:val="24"/>
          <w:szCs w:val="24"/>
        </w:rPr>
        <w:t xml:space="preserve"> </w:t>
      </w:r>
      <w:r w:rsidR="009164AF">
        <w:rPr>
          <w:sz w:val="24"/>
          <w:szCs w:val="24"/>
        </w:rPr>
        <w:t>between the number of children and young people needing alternative education support and the existing capacity available within the Authority.</w:t>
      </w:r>
      <w:r>
        <w:rPr>
          <w:sz w:val="24"/>
          <w:szCs w:val="24"/>
        </w:rPr>
        <w:t xml:space="preserve"> </w:t>
      </w:r>
    </w:p>
    <w:p w:rsidR="00C81086" w:rsidRDefault="00C81086" w:rsidP="00996EE5">
      <w:pPr>
        <w:rPr>
          <w:sz w:val="24"/>
          <w:szCs w:val="24"/>
        </w:rPr>
      </w:pPr>
      <w:r w:rsidRPr="00C81086">
        <w:rPr>
          <w:sz w:val="24"/>
          <w:szCs w:val="24"/>
        </w:rPr>
        <w:lastRenderedPageBreak/>
        <w:t>B&amp;NES d</w:t>
      </w:r>
      <w:r w:rsidR="0015434F">
        <w:rPr>
          <w:sz w:val="24"/>
          <w:szCs w:val="24"/>
        </w:rPr>
        <w:t>ischarges</w:t>
      </w:r>
      <w:r w:rsidRPr="00C81086">
        <w:rPr>
          <w:sz w:val="24"/>
          <w:szCs w:val="24"/>
        </w:rPr>
        <w:t xml:space="preserve"> it statutory duty </w:t>
      </w:r>
      <w:r>
        <w:rPr>
          <w:sz w:val="24"/>
          <w:szCs w:val="24"/>
        </w:rPr>
        <w:t>for children who are out of school through:</w:t>
      </w:r>
    </w:p>
    <w:p w:rsidR="00C81086" w:rsidRDefault="00C81086" w:rsidP="00C81086">
      <w:pPr>
        <w:pStyle w:val="ListParagraph"/>
        <w:numPr>
          <w:ilvl w:val="0"/>
          <w:numId w:val="10"/>
        </w:numPr>
        <w:rPr>
          <w:sz w:val="24"/>
          <w:szCs w:val="24"/>
        </w:rPr>
      </w:pPr>
      <w:r>
        <w:rPr>
          <w:sz w:val="24"/>
          <w:szCs w:val="24"/>
        </w:rPr>
        <w:t xml:space="preserve">A service level agreement with the Aspire Academy to provide 23 fte places for pupils who are excluded from school </w:t>
      </w:r>
      <w:r w:rsidR="00DC4E59">
        <w:rPr>
          <w:sz w:val="24"/>
          <w:szCs w:val="24"/>
        </w:rPr>
        <w:t>and provided in a variety of settings</w:t>
      </w:r>
    </w:p>
    <w:p w:rsidR="00C81086" w:rsidRDefault="00C81086" w:rsidP="00C81086">
      <w:pPr>
        <w:pStyle w:val="ListParagraph"/>
        <w:numPr>
          <w:ilvl w:val="0"/>
          <w:numId w:val="10"/>
        </w:numPr>
        <w:rPr>
          <w:sz w:val="24"/>
          <w:szCs w:val="24"/>
        </w:rPr>
      </w:pPr>
      <w:r>
        <w:rPr>
          <w:sz w:val="24"/>
          <w:szCs w:val="24"/>
        </w:rPr>
        <w:t xml:space="preserve">The Behaviour and Attendance Panels </w:t>
      </w:r>
    </w:p>
    <w:p w:rsidR="00814A5D" w:rsidRDefault="00F8451B" w:rsidP="00C81086">
      <w:pPr>
        <w:pStyle w:val="ListParagraph"/>
        <w:numPr>
          <w:ilvl w:val="0"/>
          <w:numId w:val="10"/>
        </w:numPr>
        <w:rPr>
          <w:sz w:val="24"/>
          <w:szCs w:val="24"/>
        </w:rPr>
      </w:pPr>
      <w:r w:rsidRPr="00814A5D">
        <w:rPr>
          <w:sz w:val="24"/>
          <w:szCs w:val="24"/>
        </w:rPr>
        <w:t>T</w:t>
      </w:r>
      <w:r w:rsidR="00C34721" w:rsidRPr="00814A5D">
        <w:rPr>
          <w:sz w:val="24"/>
          <w:szCs w:val="24"/>
        </w:rPr>
        <w:t>he Children Outside of School Panel.</w:t>
      </w:r>
      <w:r w:rsidRPr="00814A5D">
        <w:rPr>
          <w:sz w:val="24"/>
          <w:szCs w:val="24"/>
        </w:rPr>
        <w:t xml:space="preserve"> </w:t>
      </w:r>
    </w:p>
    <w:p w:rsidR="005F00BA" w:rsidRPr="00814A5D" w:rsidRDefault="005F00BA" w:rsidP="00C81086">
      <w:pPr>
        <w:pStyle w:val="ListParagraph"/>
        <w:numPr>
          <w:ilvl w:val="0"/>
          <w:numId w:val="10"/>
        </w:numPr>
        <w:rPr>
          <w:sz w:val="24"/>
          <w:szCs w:val="24"/>
        </w:rPr>
      </w:pPr>
      <w:r w:rsidRPr="00814A5D">
        <w:rPr>
          <w:sz w:val="24"/>
          <w:szCs w:val="24"/>
        </w:rPr>
        <w:t xml:space="preserve">St Michael`s </w:t>
      </w:r>
      <w:r w:rsidR="00053D4A" w:rsidRPr="00814A5D">
        <w:rPr>
          <w:sz w:val="24"/>
          <w:szCs w:val="24"/>
        </w:rPr>
        <w:t xml:space="preserve">C of E Junior </w:t>
      </w:r>
      <w:r w:rsidRPr="00814A5D">
        <w:rPr>
          <w:sz w:val="24"/>
          <w:szCs w:val="24"/>
        </w:rPr>
        <w:t>School Unit Provision</w:t>
      </w:r>
    </w:p>
    <w:p w:rsidR="007E445E" w:rsidRDefault="007E445E" w:rsidP="007E445E">
      <w:pPr>
        <w:rPr>
          <w:sz w:val="24"/>
          <w:szCs w:val="24"/>
        </w:rPr>
      </w:pPr>
    </w:p>
    <w:tbl>
      <w:tblPr>
        <w:tblStyle w:val="TableGrid"/>
        <w:tblW w:w="0" w:type="auto"/>
        <w:tblLook w:val="04A0" w:firstRow="1" w:lastRow="0" w:firstColumn="1" w:lastColumn="0" w:noHBand="0" w:noVBand="1"/>
      </w:tblPr>
      <w:tblGrid>
        <w:gridCol w:w="3080"/>
        <w:gridCol w:w="3081"/>
        <w:gridCol w:w="3081"/>
      </w:tblGrid>
      <w:tr w:rsidR="00636E9A" w:rsidTr="00636E9A">
        <w:tc>
          <w:tcPr>
            <w:tcW w:w="3080" w:type="dxa"/>
          </w:tcPr>
          <w:p w:rsidR="00636E9A" w:rsidRPr="00636E9A" w:rsidRDefault="00636E9A" w:rsidP="007E445E">
            <w:pPr>
              <w:rPr>
                <w:b/>
                <w:sz w:val="24"/>
                <w:szCs w:val="24"/>
              </w:rPr>
            </w:pPr>
            <w:r>
              <w:rPr>
                <w:sz w:val="24"/>
                <w:szCs w:val="24"/>
              </w:rPr>
              <w:t xml:space="preserve">           </w:t>
            </w:r>
            <w:r w:rsidRPr="00636E9A">
              <w:rPr>
                <w:b/>
                <w:sz w:val="24"/>
                <w:szCs w:val="24"/>
              </w:rPr>
              <w:t xml:space="preserve"> Provision</w:t>
            </w:r>
          </w:p>
        </w:tc>
        <w:tc>
          <w:tcPr>
            <w:tcW w:w="3081" w:type="dxa"/>
          </w:tcPr>
          <w:p w:rsidR="00636E9A" w:rsidRPr="00636E9A" w:rsidRDefault="00636E9A" w:rsidP="007E445E">
            <w:pPr>
              <w:rPr>
                <w:b/>
                <w:sz w:val="24"/>
                <w:szCs w:val="24"/>
              </w:rPr>
            </w:pPr>
            <w:r w:rsidRPr="00636E9A">
              <w:rPr>
                <w:b/>
                <w:sz w:val="24"/>
                <w:szCs w:val="24"/>
              </w:rPr>
              <w:t>No. of fte Places</w:t>
            </w:r>
          </w:p>
        </w:tc>
        <w:tc>
          <w:tcPr>
            <w:tcW w:w="3081" w:type="dxa"/>
          </w:tcPr>
          <w:p w:rsidR="00636E9A" w:rsidRPr="00636E9A" w:rsidRDefault="00636E9A" w:rsidP="00395DE7">
            <w:pPr>
              <w:rPr>
                <w:b/>
                <w:sz w:val="24"/>
                <w:szCs w:val="24"/>
              </w:rPr>
            </w:pPr>
            <w:r w:rsidRPr="00636E9A">
              <w:rPr>
                <w:b/>
                <w:sz w:val="24"/>
                <w:szCs w:val="24"/>
              </w:rPr>
              <w:t>Cost (£)</w:t>
            </w:r>
            <w:r w:rsidR="0008545D">
              <w:rPr>
                <w:b/>
                <w:sz w:val="24"/>
                <w:szCs w:val="24"/>
              </w:rPr>
              <w:t xml:space="preserve"> </w:t>
            </w:r>
          </w:p>
        </w:tc>
      </w:tr>
      <w:tr w:rsidR="00636E9A" w:rsidTr="00636E9A">
        <w:tc>
          <w:tcPr>
            <w:tcW w:w="3080" w:type="dxa"/>
          </w:tcPr>
          <w:p w:rsidR="00636E9A" w:rsidRDefault="00DA22AF" w:rsidP="007E445E">
            <w:pPr>
              <w:rPr>
                <w:sz w:val="24"/>
                <w:szCs w:val="24"/>
              </w:rPr>
            </w:pPr>
            <w:r>
              <w:rPr>
                <w:sz w:val="24"/>
                <w:szCs w:val="24"/>
              </w:rPr>
              <w:t>Aspire AP Academy</w:t>
            </w:r>
          </w:p>
          <w:p w:rsidR="00DA22AF" w:rsidRPr="00DA22AF" w:rsidRDefault="00DA22AF" w:rsidP="00DA22AF">
            <w:pPr>
              <w:pStyle w:val="ListParagraph"/>
              <w:numPr>
                <w:ilvl w:val="0"/>
                <w:numId w:val="13"/>
              </w:numPr>
              <w:rPr>
                <w:sz w:val="24"/>
                <w:szCs w:val="24"/>
              </w:rPr>
            </w:pPr>
            <w:r>
              <w:rPr>
                <w:sz w:val="24"/>
                <w:szCs w:val="24"/>
              </w:rPr>
              <w:t>SAFS Team</w:t>
            </w:r>
          </w:p>
        </w:tc>
        <w:tc>
          <w:tcPr>
            <w:tcW w:w="3081" w:type="dxa"/>
          </w:tcPr>
          <w:p w:rsidR="00636E9A" w:rsidRDefault="00DA22AF" w:rsidP="007E445E">
            <w:pPr>
              <w:rPr>
                <w:sz w:val="24"/>
                <w:szCs w:val="24"/>
              </w:rPr>
            </w:pPr>
            <w:r>
              <w:rPr>
                <w:sz w:val="24"/>
                <w:szCs w:val="24"/>
              </w:rPr>
              <w:t xml:space="preserve">               23fte</w:t>
            </w:r>
            <w:r w:rsidR="0015623C">
              <w:rPr>
                <w:sz w:val="24"/>
                <w:szCs w:val="24"/>
              </w:rPr>
              <w:t xml:space="preserve"> (ks1 –ks4) </w:t>
            </w:r>
          </w:p>
          <w:p w:rsidR="00DA22AF" w:rsidRDefault="00DA22AF" w:rsidP="007E445E">
            <w:pPr>
              <w:rPr>
                <w:sz w:val="24"/>
                <w:szCs w:val="24"/>
              </w:rPr>
            </w:pPr>
          </w:p>
        </w:tc>
        <w:tc>
          <w:tcPr>
            <w:tcW w:w="3081" w:type="dxa"/>
          </w:tcPr>
          <w:p w:rsidR="00E4009F" w:rsidRPr="00E4009F" w:rsidRDefault="00E4009F" w:rsidP="00E4009F">
            <w:pPr>
              <w:rPr>
                <w:sz w:val="24"/>
                <w:szCs w:val="24"/>
              </w:rPr>
            </w:pPr>
            <w:r w:rsidRPr="00E4009F">
              <w:rPr>
                <w:sz w:val="24"/>
                <w:szCs w:val="24"/>
              </w:rPr>
              <w:t xml:space="preserve">Alternative Education provision £616,127 </w:t>
            </w:r>
          </w:p>
          <w:p w:rsidR="00DA22AF" w:rsidRDefault="00DA22AF" w:rsidP="007E445E">
            <w:pPr>
              <w:rPr>
                <w:sz w:val="24"/>
                <w:szCs w:val="24"/>
              </w:rPr>
            </w:pPr>
          </w:p>
        </w:tc>
      </w:tr>
      <w:tr w:rsidR="00EE6EB6" w:rsidTr="00636E9A">
        <w:tc>
          <w:tcPr>
            <w:tcW w:w="3080" w:type="dxa"/>
          </w:tcPr>
          <w:p w:rsidR="00EE6EB6" w:rsidRDefault="00EE6EB6" w:rsidP="007E445E">
            <w:pPr>
              <w:rPr>
                <w:sz w:val="24"/>
                <w:szCs w:val="24"/>
              </w:rPr>
            </w:pPr>
            <w:r>
              <w:rPr>
                <w:sz w:val="24"/>
                <w:szCs w:val="24"/>
              </w:rPr>
              <w:t>Behaviour and Attendance Panels. Day 6 Re-integration</w:t>
            </w:r>
          </w:p>
        </w:tc>
        <w:tc>
          <w:tcPr>
            <w:tcW w:w="3081" w:type="dxa"/>
          </w:tcPr>
          <w:p w:rsidR="00EE6EB6" w:rsidRDefault="00EE6EB6" w:rsidP="007E445E">
            <w:pPr>
              <w:rPr>
                <w:sz w:val="24"/>
                <w:szCs w:val="24"/>
              </w:rPr>
            </w:pPr>
          </w:p>
        </w:tc>
        <w:tc>
          <w:tcPr>
            <w:tcW w:w="3081" w:type="dxa"/>
          </w:tcPr>
          <w:p w:rsidR="00EE6EB6" w:rsidRPr="00E4009F" w:rsidRDefault="00EE6EB6" w:rsidP="00E4009F">
            <w:pPr>
              <w:rPr>
                <w:sz w:val="24"/>
                <w:szCs w:val="24"/>
              </w:rPr>
            </w:pPr>
            <w:r>
              <w:rPr>
                <w:sz w:val="24"/>
                <w:szCs w:val="24"/>
              </w:rPr>
              <w:t>£261, 181</w:t>
            </w:r>
          </w:p>
        </w:tc>
      </w:tr>
    </w:tbl>
    <w:p w:rsidR="00A67D47" w:rsidRDefault="00A67D47" w:rsidP="0038258A">
      <w:pPr>
        <w:rPr>
          <w:b/>
          <w:sz w:val="24"/>
          <w:szCs w:val="24"/>
        </w:rPr>
      </w:pPr>
    </w:p>
    <w:p w:rsidR="00BC7AAA" w:rsidRDefault="00214DC9" w:rsidP="0038258A">
      <w:pPr>
        <w:rPr>
          <w:b/>
          <w:sz w:val="24"/>
          <w:szCs w:val="24"/>
        </w:rPr>
      </w:pPr>
      <w:r w:rsidRPr="00214DC9">
        <w:rPr>
          <w:b/>
          <w:sz w:val="24"/>
          <w:szCs w:val="24"/>
        </w:rPr>
        <w:t>Business</w:t>
      </w:r>
      <w:r>
        <w:rPr>
          <w:b/>
          <w:sz w:val="24"/>
          <w:szCs w:val="24"/>
        </w:rPr>
        <w:t xml:space="preserve"> Case to review the existing</w:t>
      </w:r>
      <w:r w:rsidR="009B5BDD">
        <w:rPr>
          <w:b/>
          <w:sz w:val="24"/>
          <w:szCs w:val="24"/>
        </w:rPr>
        <w:t xml:space="preserve"> arrangements</w:t>
      </w:r>
      <w:r>
        <w:rPr>
          <w:b/>
          <w:sz w:val="24"/>
          <w:szCs w:val="24"/>
        </w:rPr>
        <w:t xml:space="preserve"> for alternative education provision for children and young people who are out of school, and to develop an AP Commissioning Framework</w:t>
      </w:r>
    </w:p>
    <w:p w:rsidR="00230835" w:rsidRDefault="003F7367" w:rsidP="00D11456">
      <w:pPr>
        <w:rPr>
          <w:sz w:val="24"/>
          <w:szCs w:val="24"/>
        </w:rPr>
      </w:pPr>
      <w:r>
        <w:rPr>
          <w:sz w:val="24"/>
          <w:szCs w:val="24"/>
        </w:rPr>
        <w:t>T</w:t>
      </w:r>
      <w:r w:rsidR="00D11456" w:rsidRPr="003F7367">
        <w:rPr>
          <w:sz w:val="24"/>
          <w:szCs w:val="24"/>
        </w:rPr>
        <w:t>he core objective for the work of the</w:t>
      </w:r>
      <w:r>
        <w:rPr>
          <w:sz w:val="24"/>
          <w:szCs w:val="24"/>
        </w:rPr>
        <w:t xml:space="preserve"> a</w:t>
      </w:r>
      <w:r w:rsidR="00D11456" w:rsidRPr="003F7367">
        <w:rPr>
          <w:sz w:val="24"/>
          <w:szCs w:val="24"/>
        </w:rPr>
        <w:t xml:space="preserve">lternative </w:t>
      </w:r>
      <w:r>
        <w:rPr>
          <w:sz w:val="24"/>
          <w:szCs w:val="24"/>
        </w:rPr>
        <w:t>p</w:t>
      </w:r>
      <w:r w:rsidR="00D11456" w:rsidRPr="003F7367">
        <w:rPr>
          <w:sz w:val="24"/>
          <w:szCs w:val="24"/>
        </w:rPr>
        <w:t xml:space="preserve">rovision settings in </w:t>
      </w:r>
      <w:r>
        <w:rPr>
          <w:sz w:val="24"/>
          <w:szCs w:val="24"/>
        </w:rPr>
        <w:t xml:space="preserve">B&amp;NES </w:t>
      </w:r>
      <w:r w:rsidR="00D11456" w:rsidRPr="003F7367">
        <w:rPr>
          <w:sz w:val="24"/>
          <w:szCs w:val="24"/>
        </w:rPr>
        <w:t>is primarily to provide alternative</w:t>
      </w:r>
      <w:r>
        <w:rPr>
          <w:sz w:val="24"/>
          <w:szCs w:val="24"/>
        </w:rPr>
        <w:t xml:space="preserve"> </w:t>
      </w:r>
      <w:r w:rsidR="00D11456" w:rsidRPr="003F7367">
        <w:rPr>
          <w:sz w:val="24"/>
          <w:szCs w:val="24"/>
        </w:rPr>
        <w:t>provision for permanently excluded pupils and children unable to attend mainstream school</w:t>
      </w:r>
      <w:r>
        <w:rPr>
          <w:sz w:val="24"/>
          <w:szCs w:val="24"/>
        </w:rPr>
        <w:t xml:space="preserve"> </w:t>
      </w:r>
      <w:r w:rsidR="00D11456" w:rsidRPr="003F7367">
        <w:rPr>
          <w:sz w:val="24"/>
          <w:szCs w:val="24"/>
        </w:rPr>
        <w:t>settings for reasons of health, behaviour and/ or other as defined in the section 19 duties for</w:t>
      </w:r>
      <w:r>
        <w:rPr>
          <w:sz w:val="24"/>
          <w:szCs w:val="24"/>
        </w:rPr>
        <w:t xml:space="preserve"> </w:t>
      </w:r>
      <w:r w:rsidR="00D11456" w:rsidRPr="003F7367">
        <w:rPr>
          <w:sz w:val="24"/>
          <w:szCs w:val="24"/>
        </w:rPr>
        <w:t>education otherwise than at school. Owing to the changing landscape nationally for the work of</w:t>
      </w:r>
      <w:r>
        <w:rPr>
          <w:sz w:val="24"/>
          <w:szCs w:val="24"/>
        </w:rPr>
        <w:t xml:space="preserve"> </w:t>
      </w:r>
      <w:r w:rsidR="00D11456" w:rsidRPr="003F7367">
        <w:rPr>
          <w:sz w:val="24"/>
          <w:szCs w:val="24"/>
        </w:rPr>
        <w:t>PRUs and alternative provision providers, cultural and structural change is required to take</w:t>
      </w:r>
      <w:r>
        <w:rPr>
          <w:sz w:val="24"/>
          <w:szCs w:val="24"/>
        </w:rPr>
        <w:t xml:space="preserve"> </w:t>
      </w:r>
      <w:r w:rsidR="00D11456" w:rsidRPr="003F7367">
        <w:rPr>
          <w:sz w:val="24"/>
          <w:szCs w:val="24"/>
        </w:rPr>
        <w:t>account of new national policy directions and provide extended and individualised learning</w:t>
      </w:r>
      <w:r>
        <w:rPr>
          <w:sz w:val="24"/>
          <w:szCs w:val="24"/>
        </w:rPr>
        <w:t xml:space="preserve"> </w:t>
      </w:r>
      <w:r w:rsidR="00D11456" w:rsidRPr="003F7367">
        <w:rPr>
          <w:sz w:val="24"/>
          <w:szCs w:val="24"/>
        </w:rPr>
        <w:t>opportunities for some of the most vulnerable pupils within the Authority</w:t>
      </w:r>
      <w:r>
        <w:rPr>
          <w:sz w:val="24"/>
          <w:szCs w:val="24"/>
        </w:rPr>
        <w:t>.</w:t>
      </w:r>
    </w:p>
    <w:p w:rsidR="009B3BE5" w:rsidRDefault="00460AE9" w:rsidP="00460AE9">
      <w:pPr>
        <w:rPr>
          <w:sz w:val="24"/>
          <w:szCs w:val="24"/>
        </w:rPr>
      </w:pPr>
      <w:r w:rsidRPr="00460AE9">
        <w:rPr>
          <w:sz w:val="24"/>
          <w:szCs w:val="24"/>
        </w:rPr>
        <w:t>Informed by</w:t>
      </w:r>
      <w:r w:rsidR="00206679">
        <w:rPr>
          <w:sz w:val="24"/>
          <w:szCs w:val="24"/>
        </w:rPr>
        <w:t xml:space="preserve"> </w:t>
      </w:r>
      <w:r w:rsidRPr="00460AE9">
        <w:rPr>
          <w:sz w:val="24"/>
          <w:szCs w:val="24"/>
        </w:rPr>
        <w:t>local needs and preferences</w:t>
      </w:r>
      <w:r w:rsidR="00206679">
        <w:rPr>
          <w:sz w:val="24"/>
          <w:szCs w:val="24"/>
        </w:rPr>
        <w:t xml:space="preserve"> as expressed in interviews with Pastoral Head Teachers also responses to the Behaviour Survey Questionnaire,</w:t>
      </w:r>
      <w:r w:rsidRPr="00460AE9">
        <w:rPr>
          <w:sz w:val="24"/>
          <w:szCs w:val="24"/>
        </w:rPr>
        <w:t xml:space="preserve"> </w:t>
      </w:r>
      <w:r w:rsidR="00E969AA">
        <w:rPr>
          <w:sz w:val="24"/>
          <w:szCs w:val="24"/>
        </w:rPr>
        <w:t>it is proposed that we seek to establish a new model</w:t>
      </w:r>
      <w:r w:rsidR="00206679">
        <w:rPr>
          <w:sz w:val="24"/>
          <w:szCs w:val="24"/>
        </w:rPr>
        <w:t xml:space="preserve"> to </w:t>
      </w:r>
      <w:r w:rsidR="009B3BE5">
        <w:rPr>
          <w:sz w:val="24"/>
          <w:szCs w:val="24"/>
        </w:rPr>
        <w:t>deliver education</w:t>
      </w:r>
      <w:r w:rsidR="00206679">
        <w:rPr>
          <w:sz w:val="24"/>
          <w:szCs w:val="24"/>
        </w:rPr>
        <w:t xml:space="preserve"> to</w:t>
      </w:r>
      <w:r w:rsidR="009B3BE5">
        <w:rPr>
          <w:sz w:val="24"/>
          <w:szCs w:val="24"/>
        </w:rPr>
        <w:t xml:space="preserve"> B&amp;NES children under three strands: </w:t>
      </w:r>
    </w:p>
    <w:p w:rsidR="009B3BE5" w:rsidRDefault="009B3BE5" w:rsidP="009B3BE5">
      <w:pPr>
        <w:pStyle w:val="ListParagraph"/>
        <w:numPr>
          <w:ilvl w:val="0"/>
          <w:numId w:val="14"/>
        </w:numPr>
        <w:rPr>
          <w:sz w:val="24"/>
          <w:szCs w:val="24"/>
        </w:rPr>
      </w:pPr>
      <w:r>
        <w:rPr>
          <w:sz w:val="24"/>
          <w:szCs w:val="24"/>
        </w:rPr>
        <w:t xml:space="preserve">Permanently Excluded </w:t>
      </w:r>
    </w:p>
    <w:p w:rsidR="009B3BE5" w:rsidRDefault="009B3BE5" w:rsidP="009B3BE5">
      <w:pPr>
        <w:pStyle w:val="ListParagraph"/>
        <w:numPr>
          <w:ilvl w:val="0"/>
          <w:numId w:val="14"/>
        </w:numPr>
        <w:rPr>
          <w:sz w:val="24"/>
          <w:szCs w:val="24"/>
        </w:rPr>
      </w:pPr>
      <w:r>
        <w:rPr>
          <w:sz w:val="24"/>
          <w:szCs w:val="24"/>
        </w:rPr>
        <w:t>Pupils at Risk of Exclusion and</w:t>
      </w:r>
    </w:p>
    <w:p w:rsidR="009B3BE5" w:rsidRDefault="009B3BE5" w:rsidP="009B3BE5">
      <w:pPr>
        <w:pStyle w:val="ListParagraph"/>
        <w:numPr>
          <w:ilvl w:val="0"/>
          <w:numId w:val="14"/>
        </w:numPr>
        <w:rPr>
          <w:sz w:val="24"/>
          <w:szCs w:val="24"/>
        </w:rPr>
      </w:pPr>
      <w:r>
        <w:rPr>
          <w:sz w:val="24"/>
          <w:szCs w:val="24"/>
        </w:rPr>
        <w:t xml:space="preserve">Early Intervention </w:t>
      </w:r>
    </w:p>
    <w:p w:rsidR="009B3BE5" w:rsidRPr="0095268D" w:rsidRDefault="00B70815" w:rsidP="009B3BE5">
      <w:pPr>
        <w:ind w:left="360"/>
        <w:rPr>
          <w:b/>
          <w:sz w:val="24"/>
          <w:szCs w:val="24"/>
        </w:rPr>
      </w:pPr>
      <w:r w:rsidRPr="0095268D">
        <w:rPr>
          <w:b/>
          <w:sz w:val="24"/>
          <w:szCs w:val="24"/>
        </w:rPr>
        <w:t xml:space="preserve">The diagram below shows </w:t>
      </w:r>
      <w:r w:rsidR="00EB7C37">
        <w:rPr>
          <w:b/>
          <w:sz w:val="24"/>
          <w:szCs w:val="24"/>
        </w:rPr>
        <w:t xml:space="preserve">a </w:t>
      </w:r>
      <w:r w:rsidRPr="0095268D">
        <w:rPr>
          <w:b/>
          <w:sz w:val="24"/>
          <w:szCs w:val="24"/>
        </w:rPr>
        <w:t>proposed</w:t>
      </w:r>
      <w:r w:rsidR="00EB7C37">
        <w:rPr>
          <w:b/>
          <w:sz w:val="24"/>
          <w:szCs w:val="24"/>
        </w:rPr>
        <w:t xml:space="preserve"> model of alternative</w:t>
      </w:r>
      <w:r w:rsidRPr="0095268D">
        <w:rPr>
          <w:b/>
          <w:sz w:val="24"/>
          <w:szCs w:val="24"/>
        </w:rPr>
        <w:t xml:space="preserve"> provision:</w:t>
      </w:r>
    </w:p>
    <w:tbl>
      <w:tblPr>
        <w:tblStyle w:val="TableGrid"/>
        <w:tblW w:w="0" w:type="auto"/>
        <w:tblInd w:w="360" w:type="dxa"/>
        <w:tblLook w:val="04A0" w:firstRow="1" w:lastRow="0" w:firstColumn="1" w:lastColumn="0" w:noHBand="0" w:noVBand="1"/>
      </w:tblPr>
      <w:tblGrid>
        <w:gridCol w:w="8882"/>
      </w:tblGrid>
      <w:tr w:rsidR="00B70815" w:rsidTr="00B70815">
        <w:tc>
          <w:tcPr>
            <w:tcW w:w="9242" w:type="dxa"/>
          </w:tcPr>
          <w:p w:rsidR="00B70815" w:rsidRPr="00B70815" w:rsidRDefault="00B70815" w:rsidP="009B3BE5">
            <w:pPr>
              <w:rPr>
                <w:b/>
                <w:sz w:val="28"/>
                <w:szCs w:val="28"/>
              </w:rPr>
            </w:pPr>
            <w:r>
              <w:rPr>
                <w:sz w:val="24"/>
                <w:szCs w:val="24"/>
              </w:rPr>
              <w:t xml:space="preserve">                                      </w:t>
            </w:r>
            <w:r w:rsidRPr="009D5EB5">
              <w:rPr>
                <w:b/>
                <w:color w:val="4F81BD" w:themeColor="accent1"/>
                <w:sz w:val="28"/>
                <w:szCs w:val="28"/>
              </w:rPr>
              <w:t>Alternative Education Provision</w:t>
            </w:r>
          </w:p>
        </w:tc>
      </w:tr>
    </w:tbl>
    <w:p w:rsidR="00B70815" w:rsidRPr="002C2F73" w:rsidRDefault="002C2F73" w:rsidP="009B3BE5">
      <w:pPr>
        <w:ind w:left="360"/>
        <w:rPr>
          <w:b/>
        </w:rPr>
      </w:pPr>
      <w:r>
        <w:rPr>
          <w:sz w:val="24"/>
          <w:szCs w:val="24"/>
        </w:rPr>
        <w:t xml:space="preserve">      </w:t>
      </w:r>
      <w:r w:rsidRPr="002C2F73">
        <w:rPr>
          <w:b/>
        </w:rPr>
        <w:t>Places commissioned for B&amp;NES children by B&amp;APanels: Schools and the Local Authority</w:t>
      </w:r>
    </w:p>
    <w:tbl>
      <w:tblPr>
        <w:tblStyle w:val="TableGrid"/>
        <w:tblW w:w="0" w:type="auto"/>
        <w:tblInd w:w="360" w:type="dxa"/>
        <w:tblLook w:val="04A0" w:firstRow="1" w:lastRow="0" w:firstColumn="1" w:lastColumn="0" w:noHBand="0" w:noVBand="1"/>
      </w:tblPr>
      <w:tblGrid>
        <w:gridCol w:w="8882"/>
      </w:tblGrid>
      <w:tr w:rsidR="00FF5440" w:rsidRPr="00205D28" w:rsidTr="00FF5440">
        <w:tc>
          <w:tcPr>
            <w:tcW w:w="9242" w:type="dxa"/>
          </w:tcPr>
          <w:p w:rsidR="00FF5440" w:rsidRPr="00205D28" w:rsidRDefault="00FF5440" w:rsidP="009B3BE5">
            <w:pPr>
              <w:rPr>
                <w:b/>
                <w:sz w:val="24"/>
                <w:szCs w:val="24"/>
              </w:rPr>
            </w:pPr>
            <w:r w:rsidRPr="00205D28">
              <w:rPr>
                <w:b/>
                <w:sz w:val="24"/>
                <w:szCs w:val="24"/>
              </w:rPr>
              <w:t xml:space="preserve">                               Behaviour and Attendance Panels x 6</w:t>
            </w:r>
          </w:p>
        </w:tc>
      </w:tr>
    </w:tbl>
    <w:p w:rsidR="00B70815" w:rsidRDefault="00E843D6" w:rsidP="00DE7F04">
      <w:pPr>
        <w:spacing w:after="0" w:line="240" w:lineRule="auto"/>
        <w:rPr>
          <w:b/>
          <w:sz w:val="24"/>
          <w:szCs w:val="24"/>
        </w:rPr>
      </w:pPr>
      <w:r>
        <w:rPr>
          <w:b/>
          <w:sz w:val="24"/>
          <w:szCs w:val="24"/>
        </w:rPr>
        <w:t xml:space="preserve">                                 </w:t>
      </w:r>
    </w:p>
    <w:tbl>
      <w:tblPr>
        <w:tblStyle w:val="TableGrid"/>
        <w:tblW w:w="0" w:type="auto"/>
        <w:tblInd w:w="360" w:type="dxa"/>
        <w:tblLook w:val="04A0" w:firstRow="1" w:lastRow="0" w:firstColumn="1" w:lastColumn="0" w:noHBand="0" w:noVBand="1"/>
      </w:tblPr>
      <w:tblGrid>
        <w:gridCol w:w="4434"/>
        <w:gridCol w:w="4448"/>
      </w:tblGrid>
      <w:tr w:rsidR="00271132" w:rsidTr="0028750B">
        <w:tc>
          <w:tcPr>
            <w:tcW w:w="4434" w:type="dxa"/>
          </w:tcPr>
          <w:p w:rsidR="00205D28" w:rsidRPr="00D56694" w:rsidRDefault="00D56694" w:rsidP="00D56694">
            <w:pPr>
              <w:rPr>
                <w:b/>
                <w:i/>
                <w:sz w:val="24"/>
                <w:szCs w:val="24"/>
              </w:rPr>
            </w:pPr>
            <w:r>
              <w:rPr>
                <w:b/>
                <w:sz w:val="24"/>
                <w:szCs w:val="24"/>
              </w:rPr>
              <w:lastRenderedPageBreak/>
              <w:t xml:space="preserve">          </w:t>
            </w:r>
            <w:r w:rsidR="00205D28" w:rsidRPr="00D56694">
              <w:rPr>
                <w:b/>
                <w:i/>
                <w:sz w:val="24"/>
                <w:szCs w:val="24"/>
              </w:rPr>
              <w:t>Key Stage 1</w:t>
            </w:r>
            <w:r w:rsidRPr="00D56694">
              <w:rPr>
                <w:b/>
                <w:i/>
                <w:sz w:val="24"/>
                <w:szCs w:val="24"/>
              </w:rPr>
              <w:t>&amp; 2 Provision</w:t>
            </w:r>
          </w:p>
          <w:p w:rsidR="00D56694" w:rsidRDefault="00D56694" w:rsidP="00D56694">
            <w:pPr>
              <w:rPr>
                <w:b/>
                <w:sz w:val="24"/>
                <w:szCs w:val="24"/>
              </w:rPr>
            </w:pPr>
            <w:r>
              <w:rPr>
                <w:b/>
                <w:sz w:val="24"/>
                <w:szCs w:val="24"/>
              </w:rPr>
              <w:t>Delivered in on site provision in B&amp;A Panel areas across the Local Authority.</w:t>
            </w:r>
          </w:p>
          <w:p w:rsidR="00D56694" w:rsidRDefault="00D56694" w:rsidP="00D56694">
            <w:pPr>
              <w:rPr>
                <w:b/>
                <w:sz w:val="24"/>
                <w:szCs w:val="24"/>
              </w:rPr>
            </w:pPr>
            <w:r>
              <w:rPr>
                <w:b/>
                <w:sz w:val="24"/>
                <w:szCs w:val="24"/>
              </w:rPr>
              <w:t xml:space="preserve">Provision to target permanently excluded children; those at risk of exclusion; prevention and intervention placements. </w:t>
            </w:r>
          </w:p>
        </w:tc>
        <w:tc>
          <w:tcPr>
            <w:tcW w:w="4448" w:type="dxa"/>
          </w:tcPr>
          <w:p w:rsidR="00205D28" w:rsidRDefault="009F3FB6" w:rsidP="009B3BE5">
            <w:pPr>
              <w:rPr>
                <w:b/>
                <w:i/>
                <w:sz w:val="24"/>
                <w:szCs w:val="24"/>
              </w:rPr>
            </w:pPr>
            <w:r>
              <w:rPr>
                <w:b/>
                <w:sz w:val="24"/>
                <w:szCs w:val="24"/>
              </w:rPr>
              <w:t xml:space="preserve">  </w:t>
            </w:r>
            <w:r w:rsidRPr="00585882">
              <w:rPr>
                <w:b/>
                <w:i/>
                <w:sz w:val="24"/>
                <w:szCs w:val="24"/>
              </w:rPr>
              <w:t xml:space="preserve">Key Stage 3 &amp; 4 </w:t>
            </w:r>
            <w:r w:rsidR="00271132">
              <w:rPr>
                <w:b/>
                <w:i/>
                <w:sz w:val="24"/>
                <w:szCs w:val="24"/>
              </w:rPr>
              <w:t xml:space="preserve">External </w:t>
            </w:r>
            <w:r w:rsidR="00585882" w:rsidRPr="00585882">
              <w:rPr>
                <w:b/>
                <w:i/>
                <w:sz w:val="24"/>
                <w:szCs w:val="24"/>
              </w:rPr>
              <w:t>Commissioning Approach</w:t>
            </w:r>
          </w:p>
          <w:p w:rsidR="00271132" w:rsidRPr="00271132" w:rsidRDefault="00271132" w:rsidP="009B3BE5">
            <w:pPr>
              <w:rPr>
                <w:b/>
                <w:sz w:val="24"/>
                <w:szCs w:val="24"/>
              </w:rPr>
            </w:pPr>
            <w:r w:rsidRPr="00271132">
              <w:rPr>
                <w:b/>
                <w:sz w:val="24"/>
                <w:szCs w:val="24"/>
              </w:rPr>
              <w:t>Onsite and outreach education to provide intervention and transition placements, contracted from a variety of providers in the private and voluntary sectors.</w:t>
            </w:r>
          </w:p>
        </w:tc>
      </w:tr>
      <w:tr w:rsidR="00133C4A" w:rsidTr="0028750B">
        <w:tc>
          <w:tcPr>
            <w:tcW w:w="4434" w:type="dxa"/>
          </w:tcPr>
          <w:p w:rsidR="00133C4A" w:rsidRDefault="00133C4A" w:rsidP="00133C4A">
            <w:pPr>
              <w:rPr>
                <w:b/>
                <w:sz w:val="24"/>
                <w:szCs w:val="24"/>
              </w:rPr>
            </w:pPr>
            <w:r>
              <w:rPr>
                <w:b/>
                <w:sz w:val="24"/>
                <w:szCs w:val="24"/>
              </w:rPr>
              <w:t xml:space="preserve">        </w:t>
            </w:r>
            <w:r w:rsidRPr="009D5EB5">
              <w:rPr>
                <w:b/>
                <w:color w:val="FF0000"/>
                <w:sz w:val="24"/>
                <w:szCs w:val="24"/>
              </w:rPr>
              <w:t>Primary KS1 &amp; 2 20 Places</w:t>
            </w:r>
          </w:p>
        </w:tc>
        <w:tc>
          <w:tcPr>
            <w:tcW w:w="4448" w:type="dxa"/>
          </w:tcPr>
          <w:p w:rsidR="00133C4A" w:rsidRDefault="005534C2" w:rsidP="005534C2">
            <w:pPr>
              <w:rPr>
                <w:b/>
                <w:sz w:val="24"/>
                <w:szCs w:val="24"/>
              </w:rPr>
            </w:pPr>
            <w:r w:rsidRPr="009D5EB5">
              <w:rPr>
                <w:b/>
                <w:color w:val="FF0000"/>
                <w:sz w:val="24"/>
                <w:szCs w:val="24"/>
              </w:rPr>
              <w:t>Secondary KS3 15</w:t>
            </w:r>
            <w:r w:rsidR="00562B6F">
              <w:rPr>
                <w:b/>
                <w:color w:val="FF0000"/>
                <w:sz w:val="24"/>
                <w:szCs w:val="24"/>
              </w:rPr>
              <w:t xml:space="preserve"> </w:t>
            </w:r>
            <w:r w:rsidRPr="009D5EB5">
              <w:rPr>
                <w:b/>
                <w:color w:val="FF0000"/>
                <w:sz w:val="24"/>
                <w:szCs w:val="24"/>
              </w:rPr>
              <w:t>Places KS4 15 Places</w:t>
            </w:r>
          </w:p>
        </w:tc>
      </w:tr>
      <w:tr w:rsidR="00E843D6" w:rsidTr="0028750B">
        <w:tc>
          <w:tcPr>
            <w:tcW w:w="8882" w:type="dxa"/>
            <w:gridSpan w:val="2"/>
          </w:tcPr>
          <w:p w:rsidR="00E843D6" w:rsidRPr="009D5EB5" w:rsidRDefault="00E843D6" w:rsidP="009B3BE5">
            <w:pPr>
              <w:rPr>
                <w:b/>
                <w:color w:val="4F81BD" w:themeColor="accent1"/>
                <w:sz w:val="24"/>
                <w:szCs w:val="24"/>
              </w:rPr>
            </w:pPr>
            <w:r>
              <w:rPr>
                <w:b/>
                <w:sz w:val="24"/>
                <w:szCs w:val="24"/>
              </w:rPr>
              <w:t xml:space="preserve">                                  </w:t>
            </w:r>
            <w:r w:rsidRPr="009D5EB5">
              <w:rPr>
                <w:b/>
                <w:color w:val="4F81BD" w:themeColor="accent1"/>
                <w:sz w:val="24"/>
                <w:szCs w:val="24"/>
              </w:rPr>
              <w:t>FRAMEWORK OF ALTERNATIVE PROVIDERS</w:t>
            </w:r>
          </w:p>
          <w:p w:rsidR="00E843D6" w:rsidRPr="009D5EB5" w:rsidRDefault="00E843D6" w:rsidP="00E843D6">
            <w:pPr>
              <w:rPr>
                <w:b/>
                <w:color w:val="4F81BD" w:themeColor="accent1"/>
              </w:rPr>
            </w:pPr>
            <w:r w:rsidRPr="009D5EB5">
              <w:rPr>
                <w:b/>
                <w:color w:val="4F81BD" w:themeColor="accent1"/>
                <w:sz w:val="24"/>
                <w:szCs w:val="24"/>
              </w:rPr>
              <w:t xml:space="preserve">                     </w:t>
            </w:r>
            <w:r w:rsidRPr="009D5EB5">
              <w:rPr>
                <w:b/>
                <w:color w:val="4F81BD" w:themeColor="accent1"/>
              </w:rPr>
              <w:t>Quality assured and Ofsted ready</w:t>
            </w:r>
            <w:r w:rsidR="00C45137">
              <w:rPr>
                <w:b/>
                <w:color w:val="4F81BD" w:themeColor="accent1"/>
              </w:rPr>
              <w:t xml:space="preserve"> </w:t>
            </w:r>
            <w:r w:rsidRPr="009D5EB5">
              <w:rPr>
                <w:b/>
                <w:color w:val="4F81BD" w:themeColor="accent1"/>
              </w:rPr>
              <w:t xml:space="preserve"> available to be commissioned by </w:t>
            </w:r>
          </w:p>
          <w:p w:rsidR="00E843D6" w:rsidRPr="00E843D6" w:rsidRDefault="00E843D6" w:rsidP="00E843D6">
            <w:pPr>
              <w:rPr>
                <w:b/>
              </w:rPr>
            </w:pPr>
            <w:r w:rsidRPr="009D5EB5">
              <w:rPr>
                <w:b/>
                <w:color w:val="4F81BD" w:themeColor="accent1"/>
              </w:rPr>
              <w:t xml:space="preserve">                                       B &amp; A Panels; Schools and the Local Authority</w:t>
            </w:r>
          </w:p>
        </w:tc>
      </w:tr>
    </w:tbl>
    <w:p w:rsidR="00205D28" w:rsidRDefault="00205D28" w:rsidP="009B3BE5">
      <w:pPr>
        <w:ind w:left="360"/>
        <w:rPr>
          <w:b/>
          <w:sz w:val="24"/>
          <w:szCs w:val="24"/>
        </w:rPr>
      </w:pPr>
    </w:p>
    <w:p w:rsidR="00205D28" w:rsidRDefault="006D3FF7" w:rsidP="006D3FF7">
      <w:pPr>
        <w:ind w:left="360"/>
        <w:rPr>
          <w:sz w:val="24"/>
          <w:szCs w:val="24"/>
        </w:rPr>
      </w:pPr>
      <w:r w:rsidRPr="0045483D">
        <w:rPr>
          <w:sz w:val="24"/>
          <w:szCs w:val="24"/>
        </w:rPr>
        <w:t>Leadership and accountability for this</w:t>
      </w:r>
      <w:r w:rsidR="0045483D">
        <w:rPr>
          <w:sz w:val="24"/>
          <w:szCs w:val="24"/>
        </w:rPr>
        <w:t xml:space="preserve"> </w:t>
      </w:r>
      <w:r w:rsidRPr="0045483D">
        <w:rPr>
          <w:sz w:val="24"/>
          <w:szCs w:val="24"/>
        </w:rPr>
        <w:t>area</w:t>
      </w:r>
      <w:r w:rsidR="0045483D">
        <w:rPr>
          <w:sz w:val="24"/>
          <w:szCs w:val="24"/>
        </w:rPr>
        <w:t xml:space="preserve"> of work</w:t>
      </w:r>
      <w:r w:rsidRPr="0045483D">
        <w:rPr>
          <w:sz w:val="24"/>
          <w:szCs w:val="24"/>
        </w:rPr>
        <w:t xml:space="preserve"> would be provided by a Lead Commissioner for AP (or equivalent).</w:t>
      </w:r>
      <w:r w:rsidR="00C45137">
        <w:rPr>
          <w:sz w:val="24"/>
          <w:szCs w:val="24"/>
        </w:rPr>
        <w:t xml:space="preserve"> KS 1 and 2 support would be delivered in “on-site” provision located in the B&amp;A Panel areas. </w:t>
      </w:r>
      <w:r w:rsidRPr="0045483D">
        <w:rPr>
          <w:sz w:val="24"/>
          <w:szCs w:val="24"/>
        </w:rPr>
        <w:t>KS3 and KS4 alternative provision would be commissioned through a</w:t>
      </w:r>
      <w:r w:rsidR="0045483D">
        <w:rPr>
          <w:sz w:val="24"/>
          <w:szCs w:val="24"/>
        </w:rPr>
        <w:t xml:space="preserve"> </w:t>
      </w:r>
      <w:r w:rsidRPr="0045483D">
        <w:rPr>
          <w:sz w:val="24"/>
          <w:szCs w:val="24"/>
        </w:rPr>
        <w:t>framework. A local AP provision map would be developed which would consist</w:t>
      </w:r>
      <w:r w:rsidR="0045483D">
        <w:rPr>
          <w:sz w:val="24"/>
          <w:szCs w:val="24"/>
        </w:rPr>
        <w:t xml:space="preserve"> </w:t>
      </w:r>
      <w:r w:rsidRPr="0045483D">
        <w:rPr>
          <w:sz w:val="24"/>
          <w:szCs w:val="24"/>
        </w:rPr>
        <w:t>of provision from the local AP market that had been subject to LA criteria for</w:t>
      </w:r>
      <w:r w:rsidR="0045483D">
        <w:rPr>
          <w:sz w:val="24"/>
          <w:szCs w:val="24"/>
        </w:rPr>
        <w:t xml:space="preserve"> </w:t>
      </w:r>
      <w:r w:rsidRPr="0045483D">
        <w:rPr>
          <w:sz w:val="24"/>
          <w:szCs w:val="24"/>
        </w:rPr>
        <w:t>commissioning, quality assurance and Ofsted ready criteria</w:t>
      </w:r>
      <w:r w:rsidR="0045483D">
        <w:rPr>
          <w:sz w:val="24"/>
          <w:szCs w:val="24"/>
        </w:rPr>
        <w:t>.</w:t>
      </w:r>
    </w:p>
    <w:p w:rsidR="00E844C4" w:rsidRDefault="00E844C4" w:rsidP="00860D58">
      <w:pPr>
        <w:ind w:left="360"/>
        <w:rPr>
          <w:color w:val="FF0000"/>
          <w:sz w:val="24"/>
          <w:szCs w:val="24"/>
        </w:rPr>
      </w:pPr>
    </w:p>
    <w:p w:rsidR="00E844C4" w:rsidRDefault="006D634F" w:rsidP="00860D58">
      <w:pPr>
        <w:ind w:left="360"/>
        <w:rPr>
          <w:b/>
          <w:sz w:val="24"/>
          <w:szCs w:val="24"/>
        </w:rPr>
      </w:pPr>
      <w:r w:rsidRPr="006D634F">
        <w:rPr>
          <w:b/>
          <w:sz w:val="24"/>
          <w:szCs w:val="24"/>
        </w:rPr>
        <w:t xml:space="preserve">Key </w:t>
      </w:r>
      <w:r w:rsidR="00A96232">
        <w:rPr>
          <w:b/>
          <w:sz w:val="24"/>
          <w:szCs w:val="24"/>
        </w:rPr>
        <w:t>recommendations</w:t>
      </w:r>
    </w:p>
    <w:p w:rsidR="006D634F" w:rsidRDefault="006D634F" w:rsidP="006D634F">
      <w:pPr>
        <w:pStyle w:val="ListParagraph"/>
        <w:numPr>
          <w:ilvl w:val="0"/>
          <w:numId w:val="16"/>
        </w:numPr>
        <w:rPr>
          <w:b/>
          <w:sz w:val="24"/>
          <w:szCs w:val="24"/>
        </w:rPr>
      </w:pPr>
      <w:r w:rsidRPr="006D634F">
        <w:rPr>
          <w:b/>
          <w:sz w:val="24"/>
          <w:szCs w:val="24"/>
        </w:rPr>
        <w:t>Increase the number of places</w:t>
      </w:r>
      <w:r w:rsidRPr="006D634F">
        <w:rPr>
          <w:sz w:val="24"/>
          <w:szCs w:val="24"/>
        </w:rPr>
        <w:t xml:space="preserve"> available for children and young people who are out of school </w:t>
      </w:r>
      <w:r w:rsidRPr="006D634F">
        <w:rPr>
          <w:b/>
          <w:sz w:val="24"/>
          <w:szCs w:val="24"/>
        </w:rPr>
        <w:t>from 23fte to 50fte</w:t>
      </w:r>
      <w:r w:rsidRPr="006D634F">
        <w:rPr>
          <w:sz w:val="24"/>
          <w:szCs w:val="24"/>
        </w:rPr>
        <w:t xml:space="preserve">. </w:t>
      </w:r>
      <w:r w:rsidR="0061397C">
        <w:rPr>
          <w:sz w:val="24"/>
          <w:szCs w:val="24"/>
        </w:rPr>
        <w:t>(</w:t>
      </w:r>
      <w:r w:rsidRPr="006D634F">
        <w:rPr>
          <w:sz w:val="24"/>
          <w:szCs w:val="24"/>
        </w:rPr>
        <w:t>20fte for primary pupils and 30 places for secondary pupils</w:t>
      </w:r>
      <w:r w:rsidR="0061397C">
        <w:rPr>
          <w:sz w:val="24"/>
          <w:szCs w:val="24"/>
        </w:rPr>
        <w:t>)</w:t>
      </w:r>
      <w:r>
        <w:rPr>
          <w:b/>
          <w:sz w:val="24"/>
          <w:szCs w:val="24"/>
        </w:rPr>
        <w:t>.</w:t>
      </w:r>
    </w:p>
    <w:p w:rsidR="00006A0C" w:rsidRPr="00B25046" w:rsidRDefault="00006A0C" w:rsidP="006D634F">
      <w:pPr>
        <w:pStyle w:val="ListParagraph"/>
        <w:numPr>
          <w:ilvl w:val="0"/>
          <w:numId w:val="16"/>
        </w:numPr>
        <w:rPr>
          <w:b/>
          <w:sz w:val="24"/>
          <w:szCs w:val="24"/>
        </w:rPr>
      </w:pPr>
      <w:r w:rsidRPr="00B25046">
        <w:rPr>
          <w:sz w:val="24"/>
          <w:szCs w:val="24"/>
        </w:rPr>
        <w:t xml:space="preserve">Explore with primary Head Teachers a move towards  the </w:t>
      </w:r>
      <w:r w:rsidRPr="00B25046">
        <w:rPr>
          <w:b/>
          <w:sz w:val="24"/>
          <w:szCs w:val="24"/>
        </w:rPr>
        <w:t>delivery of alternative provision</w:t>
      </w:r>
      <w:r w:rsidR="00046150" w:rsidRPr="00B25046">
        <w:rPr>
          <w:b/>
          <w:sz w:val="24"/>
          <w:szCs w:val="24"/>
        </w:rPr>
        <w:t xml:space="preserve"> for children at Key Stages 1 and 2 in</w:t>
      </w:r>
      <w:r w:rsidRPr="00B25046">
        <w:rPr>
          <w:b/>
          <w:sz w:val="24"/>
          <w:szCs w:val="24"/>
        </w:rPr>
        <w:t xml:space="preserve"> localities </w:t>
      </w:r>
    </w:p>
    <w:p w:rsidR="00A96232" w:rsidRDefault="00E844C4" w:rsidP="00006A0C">
      <w:pPr>
        <w:pStyle w:val="ListParagraph"/>
        <w:numPr>
          <w:ilvl w:val="0"/>
          <w:numId w:val="16"/>
        </w:numPr>
        <w:rPr>
          <w:sz w:val="24"/>
          <w:szCs w:val="24"/>
        </w:rPr>
      </w:pPr>
      <w:r w:rsidRPr="00006A0C">
        <w:rPr>
          <w:b/>
          <w:sz w:val="24"/>
          <w:szCs w:val="24"/>
        </w:rPr>
        <w:t xml:space="preserve">Appoint a Strategic </w:t>
      </w:r>
      <w:r w:rsidR="00A96232" w:rsidRPr="00006A0C">
        <w:rPr>
          <w:b/>
          <w:sz w:val="24"/>
          <w:szCs w:val="24"/>
        </w:rPr>
        <w:t xml:space="preserve">Lead </w:t>
      </w:r>
      <w:r w:rsidRPr="00006A0C">
        <w:rPr>
          <w:b/>
          <w:sz w:val="24"/>
          <w:szCs w:val="24"/>
        </w:rPr>
        <w:t xml:space="preserve">for </w:t>
      </w:r>
      <w:r w:rsidR="009C487A">
        <w:rPr>
          <w:b/>
          <w:sz w:val="24"/>
          <w:szCs w:val="24"/>
        </w:rPr>
        <w:t>b</w:t>
      </w:r>
      <w:r w:rsidR="00A96232">
        <w:rPr>
          <w:b/>
          <w:sz w:val="24"/>
          <w:szCs w:val="24"/>
        </w:rPr>
        <w:t xml:space="preserve">ehaviour </w:t>
      </w:r>
      <w:r w:rsidR="009C487A">
        <w:rPr>
          <w:b/>
          <w:sz w:val="24"/>
          <w:szCs w:val="24"/>
        </w:rPr>
        <w:t>s</w:t>
      </w:r>
      <w:r w:rsidR="00A96232">
        <w:rPr>
          <w:b/>
          <w:sz w:val="24"/>
          <w:szCs w:val="24"/>
        </w:rPr>
        <w:t>upport</w:t>
      </w:r>
      <w:r w:rsidRPr="00006A0C">
        <w:rPr>
          <w:sz w:val="24"/>
          <w:szCs w:val="24"/>
        </w:rPr>
        <w:t xml:space="preserve"> to lead </w:t>
      </w:r>
      <w:r w:rsidR="00A96232">
        <w:rPr>
          <w:sz w:val="24"/>
          <w:szCs w:val="24"/>
        </w:rPr>
        <w:t>the</w:t>
      </w:r>
      <w:r w:rsidRPr="00006A0C">
        <w:rPr>
          <w:sz w:val="24"/>
          <w:szCs w:val="24"/>
        </w:rPr>
        <w:t xml:space="preserve"> strategic</w:t>
      </w:r>
      <w:r w:rsidR="00A96232">
        <w:rPr>
          <w:sz w:val="24"/>
          <w:szCs w:val="24"/>
        </w:rPr>
        <w:t>/</w:t>
      </w:r>
      <w:r w:rsidRPr="00006A0C">
        <w:rPr>
          <w:sz w:val="24"/>
          <w:szCs w:val="24"/>
        </w:rPr>
        <w:t xml:space="preserve">commissioning </w:t>
      </w:r>
      <w:r w:rsidR="00A96232">
        <w:rPr>
          <w:sz w:val="24"/>
          <w:szCs w:val="24"/>
        </w:rPr>
        <w:t xml:space="preserve">work to ensure effective arrangements are in place across the spectrum of educational provison </w:t>
      </w:r>
    </w:p>
    <w:p w:rsidR="00006A0C" w:rsidRPr="00006A0C" w:rsidRDefault="00A96232" w:rsidP="00006A0C">
      <w:pPr>
        <w:pStyle w:val="ListParagraph"/>
        <w:numPr>
          <w:ilvl w:val="0"/>
          <w:numId w:val="16"/>
        </w:numPr>
        <w:rPr>
          <w:sz w:val="24"/>
          <w:szCs w:val="24"/>
        </w:rPr>
      </w:pPr>
      <w:r>
        <w:rPr>
          <w:sz w:val="24"/>
          <w:szCs w:val="24"/>
        </w:rPr>
        <w:t>Appoint to an EOTAS role</w:t>
      </w:r>
      <w:r w:rsidR="00E844C4" w:rsidRPr="00006A0C">
        <w:rPr>
          <w:sz w:val="24"/>
          <w:szCs w:val="24"/>
        </w:rPr>
        <w:t xml:space="preserve"> with </w:t>
      </w:r>
      <w:r>
        <w:rPr>
          <w:sz w:val="24"/>
          <w:szCs w:val="24"/>
        </w:rPr>
        <w:t xml:space="preserve">more operational </w:t>
      </w:r>
      <w:r w:rsidR="00E844C4" w:rsidRPr="00006A0C">
        <w:rPr>
          <w:sz w:val="24"/>
          <w:szCs w:val="24"/>
        </w:rPr>
        <w:t xml:space="preserve">responsibilities for ensuring that “no child </w:t>
      </w:r>
      <w:r w:rsidR="00CB4763">
        <w:rPr>
          <w:sz w:val="24"/>
          <w:szCs w:val="24"/>
        </w:rPr>
        <w:t xml:space="preserve">is </w:t>
      </w:r>
      <w:r w:rsidR="00E844C4" w:rsidRPr="00006A0C">
        <w:rPr>
          <w:sz w:val="24"/>
          <w:szCs w:val="24"/>
        </w:rPr>
        <w:t>left behind”</w:t>
      </w:r>
      <w:r w:rsidR="006D634F" w:rsidRPr="00006A0C">
        <w:rPr>
          <w:sz w:val="24"/>
          <w:szCs w:val="24"/>
        </w:rPr>
        <w:t xml:space="preserve"> </w:t>
      </w:r>
      <w:r w:rsidR="00E844C4" w:rsidRPr="00006A0C">
        <w:rPr>
          <w:sz w:val="24"/>
          <w:szCs w:val="24"/>
        </w:rPr>
        <w:t>with regards to being able to access suitable provision according to their respective age,</w:t>
      </w:r>
      <w:r w:rsidR="006D634F" w:rsidRPr="00006A0C">
        <w:rPr>
          <w:sz w:val="24"/>
          <w:szCs w:val="24"/>
        </w:rPr>
        <w:t xml:space="preserve"> </w:t>
      </w:r>
      <w:r w:rsidR="00E844C4" w:rsidRPr="00006A0C">
        <w:rPr>
          <w:sz w:val="24"/>
          <w:szCs w:val="24"/>
        </w:rPr>
        <w:t xml:space="preserve">aptitude and ability. </w:t>
      </w:r>
    </w:p>
    <w:p w:rsidR="00E844C4" w:rsidRDefault="00006A0C" w:rsidP="007F3A48">
      <w:pPr>
        <w:pStyle w:val="ListParagraph"/>
        <w:numPr>
          <w:ilvl w:val="0"/>
          <w:numId w:val="16"/>
        </w:numPr>
        <w:rPr>
          <w:sz w:val="24"/>
          <w:szCs w:val="24"/>
        </w:rPr>
      </w:pPr>
      <w:r w:rsidRPr="00046150">
        <w:rPr>
          <w:sz w:val="24"/>
          <w:szCs w:val="24"/>
        </w:rPr>
        <w:t xml:space="preserve">Agree </w:t>
      </w:r>
      <w:r w:rsidR="00E844C4" w:rsidRPr="00046150">
        <w:rPr>
          <w:sz w:val="24"/>
          <w:szCs w:val="24"/>
        </w:rPr>
        <w:t xml:space="preserve">a </w:t>
      </w:r>
      <w:r w:rsidRPr="00046150">
        <w:rPr>
          <w:b/>
          <w:sz w:val="24"/>
          <w:szCs w:val="24"/>
        </w:rPr>
        <w:t>F</w:t>
      </w:r>
      <w:r w:rsidR="00E844C4" w:rsidRPr="00046150">
        <w:rPr>
          <w:b/>
          <w:sz w:val="24"/>
          <w:szCs w:val="24"/>
        </w:rPr>
        <w:t>ramework</w:t>
      </w:r>
      <w:r w:rsidR="00E844C4" w:rsidRPr="00046150">
        <w:rPr>
          <w:sz w:val="24"/>
          <w:szCs w:val="24"/>
        </w:rPr>
        <w:t xml:space="preserve"> to support local schools and commission local preferred</w:t>
      </w:r>
      <w:r w:rsidR="006D634F" w:rsidRPr="00046150">
        <w:rPr>
          <w:sz w:val="24"/>
          <w:szCs w:val="24"/>
        </w:rPr>
        <w:t xml:space="preserve"> </w:t>
      </w:r>
      <w:r w:rsidR="00E844C4" w:rsidRPr="00046150">
        <w:rPr>
          <w:sz w:val="24"/>
          <w:szCs w:val="24"/>
        </w:rPr>
        <w:t xml:space="preserve">providers who had met the local quality assurance </w:t>
      </w:r>
      <w:r w:rsidRPr="00046150">
        <w:rPr>
          <w:sz w:val="24"/>
          <w:szCs w:val="24"/>
        </w:rPr>
        <w:t xml:space="preserve">standards </w:t>
      </w:r>
      <w:r w:rsidR="00E844C4" w:rsidRPr="00046150">
        <w:rPr>
          <w:sz w:val="24"/>
          <w:szCs w:val="24"/>
        </w:rPr>
        <w:t>for being “inspection</w:t>
      </w:r>
      <w:r w:rsidR="006D634F" w:rsidRPr="00046150">
        <w:rPr>
          <w:sz w:val="24"/>
          <w:szCs w:val="24"/>
        </w:rPr>
        <w:t xml:space="preserve"> </w:t>
      </w:r>
      <w:r w:rsidR="00E844C4" w:rsidRPr="00046150">
        <w:rPr>
          <w:sz w:val="24"/>
          <w:szCs w:val="24"/>
        </w:rPr>
        <w:t xml:space="preserve">ready” and able to provide suitable AP provision. This </w:t>
      </w:r>
      <w:r w:rsidRPr="00046150">
        <w:rPr>
          <w:sz w:val="24"/>
          <w:szCs w:val="24"/>
        </w:rPr>
        <w:t xml:space="preserve">Framework </w:t>
      </w:r>
      <w:r w:rsidR="00E844C4" w:rsidRPr="00046150">
        <w:rPr>
          <w:sz w:val="24"/>
          <w:szCs w:val="24"/>
        </w:rPr>
        <w:t>would enable</w:t>
      </w:r>
      <w:r w:rsidR="006D634F" w:rsidRPr="00046150">
        <w:rPr>
          <w:sz w:val="24"/>
          <w:szCs w:val="24"/>
        </w:rPr>
        <w:t xml:space="preserve"> </w:t>
      </w:r>
      <w:r w:rsidR="00E844C4" w:rsidRPr="00046150">
        <w:rPr>
          <w:sz w:val="24"/>
          <w:szCs w:val="24"/>
        </w:rPr>
        <w:t>and empower schools to deploy consortia/ locality approaches to commissioning AP and</w:t>
      </w:r>
      <w:r w:rsidR="006D634F" w:rsidRPr="00046150">
        <w:rPr>
          <w:sz w:val="24"/>
          <w:szCs w:val="24"/>
        </w:rPr>
        <w:t xml:space="preserve"> </w:t>
      </w:r>
      <w:r w:rsidR="00E844C4" w:rsidRPr="00046150">
        <w:rPr>
          <w:sz w:val="24"/>
          <w:szCs w:val="24"/>
        </w:rPr>
        <w:t>EOTAS provision</w:t>
      </w:r>
      <w:r w:rsidR="00046150" w:rsidRPr="00046150">
        <w:rPr>
          <w:sz w:val="24"/>
          <w:szCs w:val="24"/>
        </w:rPr>
        <w:t xml:space="preserve">. </w:t>
      </w:r>
      <w:r w:rsidRPr="00046150">
        <w:rPr>
          <w:sz w:val="24"/>
          <w:szCs w:val="24"/>
        </w:rPr>
        <w:t xml:space="preserve"> </w:t>
      </w:r>
    </w:p>
    <w:p w:rsidR="00A13AD8" w:rsidRDefault="00A13AD8" w:rsidP="00A13AD8">
      <w:pPr>
        <w:rPr>
          <w:sz w:val="24"/>
          <w:szCs w:val="24"/>
        </w:rPr>
      </w:pPr>
    </w:p>
    <w:p w:rsidR="00A13AD8" w:rsidRDefault="00A13AD8" w:rsidP="00A13AD8">
      <w:pPr>
        <w:rPr>
          <w:b/>
          <w:sz w:val="24"/>
          <w:szCs w:val="24"/>
        </w:rPr>
      </w:pPr>
      <w:r>
        <w:rPr>
          <w:sz w:val="24"/>
          <w:szCs w:val="24"/>
        </w:rPr>
        <w:t xml:space="preserve">         </w:t>
      </w:r>
      <w:r w:rsidRPr="00A13AD8">
        <w:rPr>
          <w:b/>
          <w:sz w:val="24"/>
          <w:szCs w:val="24"/>
        </w:rPr>
        <w:t>Financial Implications</w:t>
      </w:r>
      <w:r w:rsidR="0043108E">
        <w:rPr>
          <w:b/>
          <w:sz w:val="24"/>
          <w:szCs w:val="24"/>
        </w:rPr>
        <w:t>.</w:t>
      </w:r>
    </w:p>
    <w:p w:rsidR="0043108E" w:rsidRPr="00A32F6C" w:rsidRDefault="00A32F6C" w:rsidP="00A32F6C">
      <w:pPr>
        <w:pStyle w:val="ListParagraph"/>
        <w:numPr>
          <w:ilvl w:val="0"/>
          <w:numId w:val="18"/>
        </w:numPr>
        <w:rPr>
          <w:sz w:val="24"/>
          <w:szCs w:val="24"/>
        </w:rPr>
      </w:pPr>
      <w:r w:rsidRPr="00A32F6C">
        <w:rPr>
          <w:sz w:val="24"/>
          <w:szCs w:val="24"/>
        </w:rPr>
        <w:lastRenderedPageBreak/>
        <w:t>We are seeking to establish 27 additional places at 15K per place, for children who are out of school. Indicative costs would be 405K</w:t>
      </w:r>
    </w:p>
    <w:p w:rsidR="00A32F6C" w:rsidRPr="00A32F6C" w:rsidRDefault="00A32F6C" w:rsidP="00A32F6C">
      <w:pPr>
        <w:pStyle w:val="ListParagraph"/>
        <w:numPr>
          <w:ilvl w:val="0"/>
          <w:numId w:val="18"/>
        </w:numPr>
        <w:rPr>
          <w:sz w:val="24"/>
          <w:szCs w:val="24"/>
        </w:rPr>
      </w:pPr>
      <w:r w:rsidRPr="00A32F6C">
        <w:rPr>
          <w:sz w:val="24"/>
          <w:szCs w:val="24"/>
        </w:rPr>
        <w:t>Other key costs from these proposals include a strategic lead for behaviour support; indicative costs at this time is 75K</w:t>
      </w:r>
    </w:p>
    <w:p w:rsidR="0043108E" w:rsidRDefault="0043108E" w:rsidP="00A13AD8">
      <w:pPr>
        <w:rPr>
          <w:b/>
          <w:sz w:val="24"/>
          <w:szCs w:val="24"/>
        </w:rPr>
      </w:pPr>
    </w:p>
    <w:p w:rsidR="00E969AA" w:rsidRDefault="0043108E" w:rsidP="00A13AD8">
      <w:pPr>
        <w:rPr>
          <w:b/>
          <w:sz w:val="24"/>
          <w:szCs w:val="24"/>
        </w:rPr>
      </w:pPr>
      <w:r>
        <w:rPr>
          <w:b/>
          <w:sz w:val="24"/>
          <w:szCs w:val="24"/>
        </w:rPr>
        <w:t xml:space="preserve">   </w:t>
      </w:r>
      <w:r w:rsidR="00E969AA">
        <w:rPr>
          <w:b/>
          <w:sz w:val="24"/>
          <w:szCs w:val="24"/>
        </w:rPr>
        <w:t>Options for achieving the new model</w:t>
      </w:r>
      <w:r w:rsidR="00A96232">
        <w:rPr>
          <w:b/>
          <w:sz w:val="24"/>
          <w:szCs w:val="24"/>
        </w:rPr>
        <w:t>/additional capacity</w:t>
      </w:r>
    </w:p>
    <w:p w:rsidR="00E969AA" w:rsidRPr="00DD0871" w:rsidRDefault="00E969AA" w:rsidP="00DD0871">
      <w:pPr>
        <w:pStyle w:val="ListParagraph"/>
        <w:numPr>
          <w:ilvl w:val="0"/>
          <w:numId w:val="19"/>
        </w:numPr>
        <w:rPr>
          <w:b/>
          <w:sz w:val="24"/>
          <w:szCs w:val="24"/>
        </w:rPr>
      </w:pPr>
      <w:r w:rsidRPr="00DD0871">
        <w:rPr>
          <w:b/>
          <w:sz w:val="24"/>
          <w:szCs w:val="24"/>
        </w:rPr>
        <w:t>Recommission of AP provision to deliver new model from September 2017</w:t>
      </w:r>
    </w:p>
    <w:p w:rsidR="00E969AA" w:rsidRPr="0043669B" w:rsidRDefault="00E969AA" w:rsidP="00E969AA">
      <w:pPr>
        <w:rPr>
          <w:sz w:val="24"/>
          <w:szCs w:val="24"/>
        </w:rPr>
      </w:pPr>
      <w:r w:rsidRPr="0043669B">
        <w:rPr>
          <w:sz w:val="24"/>
          <w:szCs w:val="24"/>
        </w:rPr>
        <w:t xml:space="preserve">The current Aspire contract runs to summer 2017 and so in the normal course of events a commissioning process could be run to establish a new contract or contracts to run from September 2017, to meet the new proposed model of delivery. This would require forward commitment of funding for at least 3 years to establish appropriate contracts. The main advantage is that it enables the full model to be commissioned at the earliest date and provides greater future security of the funding/arrangements. The disadvantage would be less time to evolve the new model and </w:t>
      </w:r>
      <w:r w:rsidR="00B32F98" w:rsidRPr="0043669B">
        <w:rPr>
          <w:sz w:val="24"/>
          <w:szCs w:val="24"/>
        </w:rPr>
        <w:t>develop the market for provision and an earlier decision to commit ongoing funding. It would not preclude the commissioning of some additional capacity/interim services ahead of September 2017 to build towards the new model but makes this more tricky due to the shorter timescale.</w:t>
      </w:r>
    </w:p>
    <w:p w:rsidR="00E969AA" w:rsidRDefault="00E969AA" w:rsidP="00E969AA">
      <w:pPr>
        <w:rPr>
          <w:b/>
          <w:sz w:val="24"/>
          <w:szCs w:val="24"/>
        </w:rPr>
      </w:pPr>
    </w:p>
    <w:p w:rsidR="00E969AA" w:rsidRPr="00DD0871" w:rsidRDefault="00DD0871" w:rsidP="00DD0871">
      <w:pPr>
        <w:ind w:left="142"/>
        <w:rPr>
          <w:b/>
          <w:sz w:val="24"/>
          <w:szCs w:val="24"/>
        </w:rPr>
      </w:pPr>
      <w:r>
        <w:rPr>
          <w:b/>
          <w:sz w:val="24"/>
          <w:szCs w:val="24"/>
        </w:rPr>
        <w:t xml:space="preserve">b)   </w:t>
      </w:r>
      <w:r w:rsidR="00E969AA" w:rsidRPr="00DD0871">
        <w:rPr>
          <w:b/>
          <w:sz w:val="24"/>
          <w:szCs w:val="24"/>
        </w:rPr>
        <w:t>Interim arrangements to progressively develop and evaluate new model, with full recommission to create new model from September 2018</w:t>
      </w:r>
    </w:p>
    <w:p w:rsidR="00E969AA" w:rsidRPr="0043669B" w:rsidRDefault="00B32F98" w:rsidP="00E969AA">
      <w:pPr>
        <w:rPr>
          <w:sz w:val="24"/>
          <w:szCs w:val="24"/>
        </w:rPr>
      </w:pPr>
      <w:r w:rsidRPr="0043669B">
        <w:rPr>
          <w:sz w:val="24"/>
          <w:szCs w:val="24"/>
        </w:rPr>
        <w:t xml:space="preserve">This would be based on the assumption that the Aspire contract is being delivered effectively enough to justify extending the contract by a year to summer 2018, whilst additional capacity is commissioned alongside the existing provision on an interim basis. The main advantage is that the new model can be built up and tested and evaluated through interim provision and potentially using DSG underspend for that period, prior to committing 3 year funding to a set of commissioned services to run from September 2018. It also gives more time for development of the market of potential providers and gives a longer ‘interim’ period making investment in interim provision more worthwhile/better value. The disadvantages include less security of tenure for Aspire </w:t>
      </w:r>
    </w:p>
    <w:p w:rsidR="00E969AA" w:rsidRDefault="00E969AA" w:rsidP="00E969AA">
      <w:pPr>
        <w:rPr>
          <w:b/>
          <w:sz w:val="24"/>
          <w:szCs w:val="24"/>
        </w:rPr>
      </w:pPr>
    </w:p>
    <w:p w:rsidR="00E969AA" w:rsidRPr="00C70DCE" w:rsidRDefault="00C70DCE" w:rsidP="00C70DCE">
      <w:pPr>
        <w:ind w:left="142"/>
        <w:rPr>
          <w:b/>
          <w:sz w:val="24"/>
          <w:szCs w:val="24"/>
        </w:rPr>
      </w:pPr>
      <w:r>
        <w:rPr>
          <w:b/>
          <w:sz w:val="24"/>
          <w:szCs w:val="24"/>
        </w:rPr>
        <w:t xml:space="preserve">c)    </w:t>
      </w:r>
      <w:r w:rsidR="00E969AA" w:rsidRPr="00C70DCE">
        <w:rPr>
          <w:b/>
          <w:sz w:val="24"/>
          <w:szCs w:val="24"/>
        </w:rPr>
        <w:t>Passive development</w:t>
      </w:r>
    </w:p>
    <w:p w:rsidR="00E969AA" w:rsidRPr="0043669B" w:rsidRDefault="006A5234" w:rsidP="00E969AA">
      <w:pPr>
        <w:rPr>
          <w:sz w:val="24"/>
          <w:szCs w:val="24"/>
        </w:rPr>
      </w:pPr>
      <w:r w:rsidRPr="0043669B">
        <w:rPr>
          <w:sz w:val="24"/>
          <w:szCs w:val="24"/>
        </w:rPr>
        <w:t xml:space="preserve">This is effectively the ‘do nothing’ option. Ie do not proactively create additional capacity. This is likely to leave more pressure on both mainstream schools and Aspire, and fail to provide the most effective education provision for these vulnerable young people. The market may address the shortfall over time, for example through Free School proposals etc, </w:t>
      </w:r>
      <w:r w:rsidRPr="0043669B">
        <w:rPr>
          <w:sz w:val="24"/>
          <w:szCs w:val="24"/>
        </w:rPr>
        <w:lastRenderedPageBreak/>
        <w:t>but leaving this to chance is not a recommended way forward. Whilst this option might look financially more straightforward, it is likely to be more costly in the long term as it may result in more costly individual and out-of-area placements and a less planned and coherent approach to improving the overall system of provision.</w:t>
      </w:r>
    </w:p>
    <w:p w:rsidR="00E969AA" w:rsidRPr="0043669B" w:rsidRDefault="00E969AA" w:rsidP="00E969AA">
      <w:pPr>
        <w:rPr>
          <w:sz w:val="24"/>
          <w:szCs w:val="24"/>
        </w:rPr>
      </w:pPr>
    </w:p>
    <w:p w:rsidR="006A5234" w:rsidRPr="0043669B" w:rsidRDefault="006A5234" w:rsidP="00E969AA">
      <w:pPr>
        <w:rPr>
          <w:sz w:val="24"/>
          <w:szCs w:val="24"/>
        </w:rPr>
      </w:pPr>
      <w:r w:rsidRPr="0043669B">
        <w:rPr>
          <w:sz w:val="24"/>
          <w:szCs w:val="24"/>
        </w:rPr>
        <w:t xml:space="preserve">Behind any one of these options, there are issues about sites and buildings for additional AP capacity. Some possible potential sites for limited extra capacity have been identified and work will continue to explore ways these can be brought into delivery and/or other sites found. There remains an option in any of these scenarios for one or more collaborative Free School proposals to create </w:t>
      </w:r>
      <w:r w:rsidR="00A96232" w:rsidRPr="0043669B">
        <w:rPr>
          <w:sz w:val="24"/>
          <w:szCs w:val="24"/>
        </w:rPr>
        <w:t xml:space="preserve">the extra </w:t>
      </w:r>
      <w:r w:rsidRPr="0043669B">
        <w:rPr>
          <w:sz w:val="24"/>
          <w:szCs w:val="24"/>
        </w:rPr>
        <w:t>capacity</w:t>
      </w:r>
      <w:r w:rsidR="00A96232" w:rsidRPr="0043669B">
        <w:rPr>
          <w:sz w:val="24"/>
          <w:szCs w:val="24"/>
        </w:rPr>
        <w:t xml:space="preserve"> required</w:t>
      </w:r>
      <w:r w:rsidRPr="0043669B">
        <w:rPr>
          <w:sz w:val="24"/>
          <w:szCs w:val="24"/>
        </w:rPr>
        <w:t>.</w:t>
      </w:r>
    </w:p>
    <w:sectPr w:rsidR="006A5234" w:rsidRPr="0043669B" w:rsidSect="00810033">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63" w:rsidRDefault="00FB5463" w:rsidP="00B73803">
      <w:pPr>
        <w:spacing w:after="0" w:line="240" w:lineRule="auto"/>
      </w:pPr>
      <w:r>
        <w:separator/>
      </w:r>
    </w:p>
  </w:endnote>
  <w:endnote w:type="continuationSeparator" w:id="0">
    <w:p w:rsidR="00FB5463" w:rsidRDefault="00FB5463" w:rsidP="00B7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06741"/>
      <w:docPartObj>
        <w:docPartGallery w:val="Page Numbers (Bottom of Page)"/>
        <w:docPartUnique/>
      </w:docPartObj>
    </w:sdtPr>
    <w:sdtEndPr>
      <w:rPr>
        <w:noProof/>
      </w:rPr>
    </w:sdtEndPr>
    <w:sdtContent>
      <w:p w:rsidR="00B73803" w:rsidRDefault="00B73803">
        <w:pPr>
          <w:pStyle w:val="Footer"/>
          <w:jc w:val="center"/>
        </w:pPr>
        <w:r>
          <w:fldChar w:fldCharType="begin"/>
        </w:r>
        <w:r>
          <w:instrText xml:space="preserve"> PAGE   \* MERGEFORMAT </w:instrText>
        </w:r>
        <w:r>
          <w:fldChar w:fldCharType="separate"/>
        </w:r>
        <w:r w:rsidR="00810033">
          <w:rPr>
            <w:noProof/>
          </w:rPr>
          <w:t>4</w:t>
        </w:r>
        <w:r>
          <w:rPr>
            <w:noProof/>
          </w:rPr>
          <w:fldChar w:fldCharType="end"/>
        </w:r>
      </w:p>
    </w:sdtContent>
  </w:sdt>
  <w:p w:rsidR="00B73803" w:rsidRDefault="00B7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63" w:rsidRDefault="00FB5463" w:rsidP="00B73803">
      <w:pPr>
        <w:spacing w:after="0" w:line="240" w:lineRule="auto"/>
      </w:pPr>
      <w:r>
        <w:separator/>
      </w:r>
    </w:p>
  </w:footnote>
  <w:footnote w:type="continuationSeparator" w:id="0">
    <w:p w:rsidR="00FB5463" w:rsidRDefault="00FB5463" w:rsidP="00B7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CA08FB0D3E24DD3A3E62F02EC2FF5E4"/>
      </w:placeholder>
      <w:temporary/>
      <w:showingPlcHdr/>
    </w:sdtPr>
    <w:sdtContent>
      <w:p w:rsidR="00810033" w:rsidRDefault="00810033">
        <w:pPr>
          <w:pStyle w:val="Header"/>
        </w:pPr>
        <w:r>
          <w:t>[Type text]</w:t>
        </w:r>
      </w:p>
    </w:sdtContent>
  </w:sdt>
  <w:p w:rsidR="004D2D25" w:rsidRDefault="004D2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8"/>
      <w:tblW w:w="9555" w:type="dxa"/>
      <w:tblLayout w:type="fixed"/>
      <w:tblLook w:val="0000" w:firstRow="0" w:lastRow="0" w:firstColumn="0" w:lastColumn="0" w:noHBand="0" w:noVBand="0"/>
    </w:tblPr>
    <w:tblGrid>
      <w:gridCol w:w="5088"/>
      <w:gridCol w:w="4467"/>
    </w:tblGrid>
    <w:tr w:rsidR="00810033" w:rsidRPr="002B761D" w:rsidTr="00810033">
      <w:trPr>
        <w:trHeight w:val="841"/>
      </w:trPr>
      <w:tc>
        <w:tcPr>
          <w:tcW w:w="5088" w:type="dxa"/>
        </w:tcPr>
        <w:p w:rsidR="00810033" w:rsidRDefault="00810033" w:rsidP="00B73A6A">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rPr>
          </w:pPr>
          <w:r>
            <w:rPr>
              <w:b/>
              <w:noProof/>
              <w:sz w:val="24"/>
              <w:lang w:eastAsia="en-GB"/>
            </w:rPr>
            <w:drawing>
              <wp:anchor distT="0" distB="0" distL="114300" distR="114300" simplePos="0" relativeHeight="251659264" behindDoc="0" locked="0" layoutInCell="1" allowOverlap="1" wp14:anchorId="1CA6B8BB" wp14:editId="4309A3D8">
                <wp:simplePos x="0" y="0"/>
                <wp:positionH relativeFrom="column">
                  <wp:posOffset>114300</wp:posOffset>
                </wp:positionH>
                <wp:positionV relativeFrom="paragraph">
                  <wp:posOffset>172720</wp:posOffset>
                </wp:positionV>
                <wp:extent cx="1974215" cy="728980"/>
                <wp:effectExtent l="0" t="0" r="6985" b="0"/>
                <wp:wrapNone/>
                <wp:docPr id="2" name="Picture 2"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PC-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Pr="002B761D">
            <w:rPr>
              <w:b/>
              <w:sz w:val="20"/>
            </w:rPr>
            <w:br w:type="page"/>
          </w:r>
        </w:p>
        <w:p w:rsidR="00810033" w:rsidRPr="00810033" w:rsidRDefault="00810033" w:rsidP="00810033">
          <w:pPr>
            <w:rPr>
              <w:sz w:val="18"/>
            </w:rPr>
          </w:pPr>
        </w:p>
        <w:p w:rsidR="00810033" w:rsidRPr="00810033" w:rsidRDefault="00810033" w:rsidP="00810033">
          <w:pPr>
            <w:rPr>
              <w:sz w:val="18"/>
            </w:rPr>
          </w:pPr>
        </w:p>
        <w:p w:rsidR="00810033" w:rsidRPr="00810033" w:rsidRDefault="00810033" w:rsidP="00810033">
          <w:pPr>
            <w:ind w:firstLine="720"/>
            <w:rPr>
              <w:sz w:val="18"/>
            </w:rPr>
          </w:pPr>
        </w:p>
      </w:tc>
      <w:tc>
        <w:tcPr>
          <w:tcW w:w="4467" w:type="dxa"/>
        </w:tcPr>
        <w:p w:rsidR="00810033" w:rsidRPr="002B761D" w:rsidRDefault="00810033" w:rsidP="00B73A6A">
          <w:pPr>
            <w:rPr>
              <w:rFonts w:cs="Arial"/>
              <w:b/>
              <w:sz w:val="16"/>
              <w:szCs w:val="24"/>
            </w:rPr>
          </w:pPr>
          <w:r>
            <w:rPr>
              <w:rFonts w:cs="Arial"/>
              <w:noProof/>
              <w:sz w:val="24"/>
              <w:szCs w:val="24"/>
              <w:lang w:eastAsia="en-GB"/>
            </w:rPr>
            <w:drawing>
              <wp:inline distT="0" distB="0" distL="0" distR="0" wp14:anchorId="63DF5B00" wp14:editId="0AB2FE6C">
                <wp:extent cx="2152650" cy="952500"/>
                <wp:effectExtent l="0" t="0" r="0" b="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810033" w:rsidRPr="002B761D" w:rsidRDefault="00810033" w:rsidP="00B73A6A">
          <w:pPr>
            <w:jc w:val="right"/>
            <w:rPr>
              <w:rFonts w:cs="Arial"/>
              <w:sz w:val="20"/>
              <w:szCs w:val="24"/>
            </w:rPr>
          </w:pPr>
        </w:p>
      </w:tc>
    </w:tr>
  </w:tbl>
  <w:p w:rsidR="004D2D25" w:rsidRDefault="004D2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5B0"/>
    <w:multiLevelType w:val="hybridMultilevel"/>
    <w:tmpl w:val="084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F736A"/>
    <w:multiLevelType w:val="multilevel"/>
    <w:tmpl w:val="256285D0"/>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4973BA"/>
    <w:multiLevelType w:val="hybridMultilevel"/>
    <w:tmpl w:val="69044798"/>
    <w:lvl w:ilvl="0" w:tplc="A9BE637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115A5E6D"/>
    <w:multiLevelType w:val="multilevel"/>
    <w:tmpl w:val="256285D0"/>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CB4615"/>
    <w:multiLevelType w:val="hybridMultilevel"/>
    <w:tmpl w:val="84563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CA3A60"/>
    <w:multiLevelType w:val="hybridMultilevel"/>
    <w:tmpl w:val="20826C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592587"/>
    <w:multiLevelType w:val="hybridMultilevel"/>
    <w:tmpl w:val="CB74D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204510"/>
    <w:multiLevelType w:val="multilevel"/>
    <w:tmpl w:val="256285D0"/>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F44D87"/>
    <w:multiLevelType w:val="hybridMultilevel"/>
    <w:tmpl w:val="B2863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727794A"/>
    <w:multiLevelType w:val="multilevel"/>
    <w:tmpl w:val="256285D0"/>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D00A85"/>
    <w:multiLevelType w:val="hybridMultilevel"/>
    <w:tmpl w:val="0C5CA34E"/>
    <w:lvl w:ilvl="0" w:tplc="AF2471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C17C5D"/>
    <w:multiLevelType w:val="multilevel"/>
    <w:tmpl w:val="256285D0"/>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EE302C"/>
    <w:multiLevelType w:val="multilevel"/>
    <w:tmpl w:val="3AD2D88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EB685E"/>
    <w:multiLevelType w:val="hybridMultilevel"/>
    <w:tmpl w:val="B1CED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6D310B"/>
    <w:multiLevelType w:val="hybridMultilevel"/>
    <w:tmpl w:val="302A393E"/>
    <w:lvl w:ilvl="0" w:tplc="722EE47C">
      <w:start w:val="1"/>
      <w:numFmt w:val="decimal"/>
      <w:lvlText w:val="%1."/>
      <w:lvlJc w:val="left"/>
      <w:pPr>
        <w:ind w:left="1440" w:hanging="360"/>
      </w:pPr>
      <w:rPr>
        <w:rFonts w:hint="default"/>
        <w:b/>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1E847C5"/>
    <w:multiLevelType w:val="hybridMultilevel"/>
    <w:tmpl w:val="4D7C0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A80333"/>
    <w:multiLevelType w:val="multilevel"/>
    <w:tmpl w:val="256285D0"/>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C925AC"/>
    <w:multiLevelType w:val="hybridMultilevel"/>
    <w:tmpl w:val="ECE015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6E342AC"/>
    <w:multiLevelType w:val="hybridMultilevel"/>
    <w:tmpl w:val="FE7C77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8"/>
  </w:num>
  <w:num w:numId="6">
    <w:abstractNumId w:val="11"/>
  </w:num>
  <w:num w:numId="7">
    <w:abstractNumId w:val="3"/>
  </w:num>
  <w:num w:numId="8">
    <w:abstractNumId w:val="1"/>
  </w:num>
  <w:num w:numId="9">
    <w:abstractNumId w:val="7"/>
  </w:num>
  <w:num w:numId="10">
    <w:abstractNumId w:val="16"/>
  </w:num>
  <w:num w:numId="11">
    <w:abstractNumId w:val="14"/>
  </w:num>
  <w:num w:numId="12">
    <w:abstractNumId w:val="5"/>
  </w:num>
  <w:num w:numId="13">
    <w:abstractNumId w:val="10"/>
  </w:num>
  <w:num w:numId="14">
    <w:abstractNumId w:val="0"/>
  </w:num>
  <w:num w:numId="15">
    <w:abstractNumId w:val="15"/>
  </w:num>
  <w:num w:numId="16">
    <w:abstractNumId w:val="4"/>
  </w:num>
  <w:num w:numId="17">
    <w:abstractNumId w:val="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15"/>
    <w:rsid w:val="000067C6"/>
    <w:rsid w:val="00006A0C"/>
    <w:rsid w:val="00016A63"/>
    <w:rsid w:val="00034A6A"/>
    <w:rsid w:val="00043C1F"/>
    <w:rsid w:val="00046150"/>
    <w:rsid w:val="00051E10"/>
    <w:rsid w:val="00053D4A"/>
    <w:rsid w:val="000540DA"/>
    <w:rsid w:val="00054F89"/>
    <w:rsid w:val="000557F8"/>
    <w:rsid w:val="000748C2"/>
    <w:rsid w:val="00077747"/>
    <w:rsid w:val="0008178D"/>
    <w:rsid w:val="0008545D"/>
    <w:rsid w:val="00085A9E"/>
    <w:rsid w:val="00086049"/>
    <w:rsid w:val="000875FE"/>
    <w:rsid w:val="00093050"/>
    <w:rsid w:val="000A17A4"/>
    <w:rsid w:val="000A2436"/>
    <w:rsid w:val="000C057B"/>
    <w:rsid w:val="000C15B7"/>
    <w:rsid w:val="000D21F8"/>
    <w:rsid w:val="000D6FFC"/>
    <w:rsid w:val="000E31C9"/>
    <w:rsid w:val="00133C4A"/>
    <w:rsid w:val="00141FA5"/>
    <w:rsid w:val="00146A75"/>
    <w:rsid w:val="0015434F"/>
    <w:rsid w:val="0015623C"/>
    <w:rsid w:val="0017754E"/>
    <w:rsid w:val="00181856"/>
    <w:rsid w:val="0018217A"/>
    <w:rsid w:val="00191245"/>
    <w:rsid w:val="001A44FB"/>
    <w:rsid w:val="001B01D5"/>
    <w:rsid w:val="001C0133"/>
    <w:rsid w:val="001E2F96"/>
    <w:rsid w:val="001F56AE"/>
    <w:rsid w:val="00205D28"/>
    <w:rsid w:val="00206679"/>
    <w:rsid w:val="00214DC9"/>
    <w:rsid w:val="0021549C"/>
    <w:rsid w:val="00220241"/>
    <w:rsid w:val="00230835"/>
    <w:rsid w:val="002344C1"/>
    <w:rsid w:val="00236CFF"/>
    <w:rsid w:val="002420BA"/>
    <w:rsid w:val="00254AB6"/>
    <w:rsid w:val="00271132"/>
    <w:rsid w:val="0028750B"/>
    <w:rsid w:val="002930F5"/>
    <w:rsid w:val="002B6E04"/>
    <w:rsid w:val="002C2F73"/>
    <w:rsid w:val="002D66F7"/>
    <w:rsid w:val="002E1A63"/>
    <w:rsid w:val="00316E9D"/>
    <w:rsid w:val="00351104"/>
    <w:rsid w:val="0035379A"/>
    <w:rsid w:val="0035421E"/>
    <w:rsid w:val="003545B3"/>
    <w:rsid w:val="00361D5B"/>
    <w:rsid w:val="00374977"/>
    <w:rsid w:val="00381F42"/>
    <w:rsid w:val="0038258A"/>
    <w:rsid w:val="00390B66"/>
    <w:rsid w:val="0039569D"/>
    <w:rsid w:val="00395DE7"/>
    <w:rsid w:val="003A5B9E"/>
    <w:rsid w:val="003A7D0A"/>
    <w:rsid w:val="003B63E6"/>
    <w:rsid w:val="003C5918"/>
    <w:rsid w:val="003D51E5"/>
    <w:rsid w:val="003D7234"/>
    <w:rsid w:val="003F7367"/>
    <w:rsid w:val="00403D17"/>
    <w:rsid w:val="004103FB"/>
    <w:rsid w:val="00424574"/>
    <w:rsid w:val="0043108E"/>
    <w:rsid w:val="0043669B"/>
    <w:rsid w:val="00446822"/>
    <w:rsid w:val="00453633"/>
    <w:rsid w:val="0045443D"/>
    <w:rsid w:val="0045483D"/>
    <w:rsid w:val="00460AE9"/>
    <w:rsid w:val="004617B1"/>
    <w:rsid w:val="00464582"/>
    <w:rsid w:val="00464A1E"/>
    <w:rsid w:val="00466A39"/>
    <w:rsid w:val="00475A20"/>
    <w:rsid w:val="00477E64"/>
    <w:rsid w:val="004B51B2"/>
    <w:rsid w:val="004B5D46"/>
    <w:rsid w:val="004B5D7F"/>
    <w:rsid w:val="004D27DF"/>
    <w:rsid w:val="004D2D25"/>
    <w:rsid w:val="004E14A5"/>
    <w:rsid w:val="004F4893"/>
    <w:rsid w:val="00504608"/>
    <w:rsid w:val="00510430"/>
    <w:rsid w:val="0051769A"/>
    <w:rsid w:val="00520515"/>
    <w:rsid w:val="00524732"/>
    <w:rsid w:val="005534C2"/>
    <w:rsid w:val="00562B6F"/>
    <w:rsid w:val="005776E2"/>
    <w:rsid w:val="00577708"/>
    <w:rsid w:val="00585882"/>
    <w:rsid w:val="005A252B"/>
    <w:rsid w:val="005B1241"/>
    <w:rsid w:val="005D296B"/>
    <w:rsid w:val="005D43D6"/>
    <w:rsid w:val="005E02E7"/>
    <w:rsid w:val="005E1BC3"/>
    <w:rsid w:val="005F00BA"/>
    <w:rsid w:val="00610C13"/>
    <w:rsid w:val="0061397C"/>
    <w:rsid w:val="006221CD"/>
    <w:rsid w:val="00635887"/>
    <w:rsid w:val="00636E9A"/>
    <w:rsid w:val="00645015"/>
    <w:rsid w:val="00645A53"/>
    <w:rsid w:val="0065400C"/>
    <w:rsid w:val="006819A5"/>
    <w:rsid w:val="00681DCF"/>
    <w:rsid w:val="00686C84"/>
    <w:rsid w:val="006875D0"/>
    <w:rsid w:val="006A10D3"/>
    <w:rsid w:val="006A4641"/>
    <w:rsid w:val="006A4DB2"/>
    <w:rsid w:val="006A5234"/>
    <w:rsid w:val="006A66B3"/>
    <w:rsid w:val="006B1D06"/>
    <w:rsid w:val="006B2E12"/>
    <w:rsid w:val="006D3FF7"/>
    <w:rsid w:val="006D634F"/>
    <w:rsid w:val="006E388F"/>
    <w:rsid w:val="00704C31"/>
    <w:rsid w:val="00713662"/>
    <w:rsid w:val="0072750B"/>
    <w:rsid w:val="007414BE"/>
    <w:rsid w:val="00772A91"/>
    <w:rsid w:val="007744B0"/>
    <w:rsid w:val="00785648"/>
    <w:rsid w:val="00786426"/>
    <w:rsid w:val="007868EB"/>
    <w:rsid w:val="007931C2"/>
    <w:rsid w:val="007C32E6"/>
    <w:rsid w:val="007C747C"/>
    <w:rsid w:val="007E445E"/>
    <w:rsid w:val="00803D80"/>
    <w:rsid w:val="00810033"/>
    <w:rsid w:val="00814A5D"/>
    <w:rsid w:val="00860D58"/>
    <w:rsid w:val="00860DE6"/>
    <w:rsid w:val="00861BDC"/>
    <w:rsid w:val="00865042"/>
    <w:rsid w:val="00866739"/>
    <w:rsid w:val="008A35DD"/>
    <w:rsid w:val="00902435"/>
    <w:rsid w:val="009164AF"/>
    <w:rsid w:val="00931B2E"/>
    <w:rsid w:val="00935035"/>
    <w:rsid w:val="009412EC"/>
    <w:rsid w:val="00950AA0"/>
    <w:rsid w:val="0095268D"/>
    <w:rsid w:val="00957FE7"/>
    <w:rsid w:val="009658F3"/>
    <w:rsid w:val="0096609A"/>
    <w:rsid w:val="00991AB1"/>
    <w:rsid w:val="00996EE5"/>
    <w:rsid w:val="009A35E3"/>
    <w:rsid w:val="009A40B5"/>
    <w:rsid w:val="009A6C2E"/>
    <w:rsid w:val="009B3BE5"/>
    <w:rsid w:val="009B55A5"/>
    <w:rsid w:val="009B5BDD"/>
    <w:rsid w:val="009C487A"/>
    <w:rsid w:val="009D5EB5"/>
    <w:rsid w:val="009E25EA"/>
    <w:rsid w:val="009E500B"/>
    <w:rsid w:val="009F3FB6"/>
    <w:rsid w:val="00A04DC6"/>
    <w:rsid w:val="00A13AD8"/>
    <w:rsid w:val="00A20846"/>
    <w:rsid w:val="00A24023"/>
    <w:rsid w:val="00A32E52"/>
    <w:rsid w:val="00A32F6C"/>
    <w:rsid w:val="00A46FD7"/>
    <w:rsid w:val="00A512EB"/>
    <w:rsid w:val="00A56ED2"/>
    <w:rsid w:val="00A677BF"/>
    <w:rsid w:val="00A67D47"/>
    <w:rsid w:val="00A932E0"/>
    <w:rsid w:val="00A96232"/>
    <w:rsid w:val="00AA09C4"/>
    <w:rsid w:val="00AA5D60"/>
    <w:rsid w:val="00AB0845"/>
    <w:rsid w:val="00AB3D06"/>
    <w:rsid w:val="00AB3D98"/>
    <w:rsid w:val="00AD7B38"/>
    <w:rsid w:val="00AF5381"/>
    <w:rsid w:val="00B0283B"/>
    <w:rsid w:val="00B108A6"/>
    <w:rsid w:val="00B25046"/>
    <w:rsid w:val="00B3072B"/>
    <w:rsid w:val="00B32F98"/>
    <w:rsid w:val="00B70815"/>
    <w:rsid w:val="00B73803"/>
    <w:rsid w:val="00B75AC5"/>
    <w:rsid w:val="00B77414"/>
    <w:rsid w:val="00B775EB"/>
    <w:rsid w:val="00B8220F"/>
    <w:rsid w:val="00B87B9A"/>
    <w:rsid w:val="00BA2E12"/>
    <w:rsid w:val="00BC7AAA"/>
    <w:rsid w:val="00BC7B4F"/>
    <w:rsid w:val="00BF5BED"/>
    <w:rsid w:val="00C05DB7"/>
    <w:rsid w:val="00C17B07"/>
    <w:rsid w:val="00C32B9C"/>
    <w:rsid w:val="00C34721"/>
    <w:rsid w:val="00C439C3"/>
    <w:rsid w:val="00C45137"/>
    <w:rsid w:val="00C511EC"/>
    <w:rsid w:val="00C70DCE"/>
    <w:rsid w:val="00C76DAE"/>
    <w:rsid w:val="00C81086"/>
    <w:rsid w:val="00C87C9E"/>
    <w:rsid w:val="00C918C4"/>
    <w:rsid w:val="00C93BC7"/>
    <w:rsid w:val="00CB1A93"/>
    <w:rsid w:val="00CB34A5"/>
    <w:rsid w:val="00CB4763"/>
    <w:rsid w:val="00CF1B25"/>
    <w:rsid w:val="00CF6366"/>
    <w:rsid w:val="00D0291A"/>
    <w:rsid w:val="00D051D3"/>
    <w:rsid w:val="00D11352"/>
    <w:rsid w:val="00D11456"/>
    <w:rsid w:val="00D270B2"/>
    <w:rsid w:val="00D56694"/>
    <w:rsid w:val="00D753C6"/>
    <w:rsid w:val="00D853E9"/>
    <w:rsid w:val="00DA22AF"/>
    <w:rsid w:val="00DA7900"/>
    <w:rsid w:val="00DB4296"/>
    <w:rsid w:val="00DB4FFA"/>
    <w:rsid w:val="00DC3194"/>
    <w:rsid w:val="00DC4E59"/>
    <w:rsid w:val="00DD0871"/>
    <w:rsid w:val="00DD5DAC"/>
    <w:rsid w:val="00DE062D"/>
    <w:rsid w:val="00DE7F04"/>
    <w:rsid w:val="00DF5A2B"/>
    <w:rsid w:val="00E04DFA"/>
    <w:rsid w:val="00E04FD6"/>
    <w:rsid w:val="00E05A6D"/>
    <w:rsid w:val="00E16EE6"/>
    <w:rsid w:val="00E344E2"/>
    <w:rsid w:val="00E4009F"/>
    <w:rsid w:val="00E419B9"/>
    <w:rsid w:val="00E4359A"/>
    <w:rsid w:val="00E449A3"/>
    <w:rsid w:val="00E5628D"/>
    <w:rsid w:val="00E66B23"/>
    <w:rsid w:val="00E7199C"/>
    <w:rsid w:val="00E72907"/>
    <w:rsid w:val="00E843D6"/>
    <w:rsid w:val="00E844C4"/>
    <w:rsid w:val="00E85015"/>
    <w:rsid w:val="00E969AA"/>
    <w:rsid w:val="00EB7C37"/>
    <w:rsid w:val="00ED0ED0"/>
    <w:rsid w:val="00ED6F7A"/>
    <w:rsid w:val="00EE543F"/>
    <w:rsid w:val="00EE6EB6"/>
    <w:rsid w:val="00EF6140"/>
    <w:rsid w:val="00EF65CF"/>
    <w:rsid w:val="00F20732"/>
    <w:rsid w:val="00F4286D"/>
    <w:rsid w:val="00F44FF3"/>
    <w:rsid w:val="00F52AEA"/>
    <w:rsid w:val="00F75BE2"/>
    <w:rsid w:val="00F84313"/>
    <w:rsid w:val="00F8451B"/>
    <w:rsid w:val="00FB3830"/>
    <w:rsid w:val="00FB5463"/>
    <w:rsid w:val="00FB7235"/>
    <w:rsid w:val="00FC1EC4"/>
    <w:rsid w:val="00FD2014"/>
    <w:rsid w:val="00FE4017"/>
    <w:rsid w:val="00FF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2A9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A6"/>
    <w:pPr>
      <w:ind w:left="720"/>
      <w:contextualSpacing/>
    </w:pPr>
  </w:style>
  <w:style w:type="paragraph" w:customStyle="1" w:styleId="Default">
    <w:name w:val="Default"/>
    <w:rsid w:val="006A4641"/>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6A4641"/>
    <w:pPr>
      <w:spacing w:line="241" w:lineRule="atLeast"/>
    </w:pPr>
    <w:rPr>
      <w:color w:val="auto"/>
    </w:rPr>
  </w:style>
  <w:style w:type="character" w:customStyle="1" w:styleId="A10">
    <w:name w:val="A10"/>
    <w:uiPriority w:val="99"/>
    <w:rsid w:val="006A4641"/>
    <w:rPr>
      <w:color w:val="000000"/>
      <w:sz w:val="20"/>
      <w:szCs w:val="20"/>
    </w:rPr>
  </w:style>
  <w:style w:type="character" w:customStyle="1" w:styleId="A2">
    <w:name w:val="A2"/>
    <w:uiPriority w:val="99"/>
    <w:rsid w:val="006A4641"/>
    <w:rPr>
      <w:b/>
      <w:bCs/>
      <w:color w:val="000000"/>
      <w:sz w:val="26"/>
      <w:szCs w:val="26"/>
    </w:rPr>
  </w:style>
  <w:style w:type="character" w:customStyle="1" w:styleId="A5">
    <w:name w:val="A5"/>
    <w:uiPriority w:val="99"/>
    <w:rsid w:val="006A4641"/>
    <w:rPr>
      <w:b/>
      <w:bCs/>
      <w:color w:val="000000"/>
      <w:sz w:val="22"/>
      <w:szCs w:val="22"/>
    </w:rPr>
  </w:style>
  <w:style w:type="character" w:customStyle="1" w:styleId="Heading2Char">
    <w:name w:val="Heading 2 Char"/>
    <w:basedOn w:val="DefaultParagraphFont"/>
    <w:link w:val="Heading2"/>
    <w:uiPriority w:val="9"/>
    <w:rsid w:val="00772A9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7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20"/>
    <w:rPr>
      <w:rFonts w:ascii="Segoe UI" w:hAnsi="Segoe UI" w:cs="Segoe UI"/>
      <w:sz w:val="18"/>
      <w:szCs w:val="18"/>
    </w:rPr>
  </w:style>
  <w:style w:type="table" w:styleId="TableGrid">
    <w:name w:val="Table Grid"/>
    <w:basedOn w:val="TableNormal"/>
    <w:uiPriority w:val="59"/>
    <w:rsid w:val="0063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803"/>
  </w:style>
  <w:style w:type="paragraph" w:styleId="Footer">
    <w:name w:val="footer"/>
    <w:basedOn w:val="Normal"/>
    <w:link w:val="FooterChar"/>
    <w:uiPriority w:val="99"/>
    <w:unhideWhenUsed/>
    <w:rsid w:val="00B7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803"/>
  </w:style>
  <w:style w:type="paragraph" w:customStyle="1" w:styleId="CharChar1CharCharCharCharCharCharCharCharChar">
    <w:name w:val="Char Char1 Char Char Char Char Char Char Char Char Char"/>
    <w:basedOn w:val="Normal"/>
    <w:rsid w:val="00F84313"/>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2A9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A6"/>
    <w:pPr>
      <w:ind w:left="720"/>
      <w:contextualSpacing/>
    </w:pPr>
  </w:style>
  <w:style w:type="paragraph" w:customStyle="1" w:styleId="Default">
    <w:name w:val="Default"/>
    <w:rsid w:val="006A4641"/>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6A4641"/>
    <w:pPr>
      <w:spacing w:line="241" w:lineRule="atLeast"/>
    </w:pPr>
    <w:rPr>
      <w:color w:val="auto"/>
    </w:rPr>
  </w:style>
  <w:style w:type="character" w:customStyle="1" w:styleId="A10">
    <w:name w:val="A10"/>
    <w:uiPriority w:val="99"/>
    <w:rsid w:val="006A4641"/>
    <w:rPr>
      <w:color w:val="000000"/>
      <w:sz w:val="20"/>
      <w:szCs w:val="20"/>
    </w:rPr>
  </w:style>
  <w:style w:type="character" w:customStyle="1" w:styleId="A2">
    <w:name w:val="A2"/>
    <w:uiPriority w:val="99"/>
    <w:rsid w:val="006A4641"/>
    <w:rPr>
      <w:b/>
      <w:bCs/>
      <w:color w:val="000000"/>
      <w:sz w:val="26"/>
      <w:szCs w:val="26"/>
    </w:rPr>
  </w:style>
  <w:style w:type="character" w:customStyle="1" w:styleId="A5">
    <w:name w:val="A5"/>
    <w:uiPriority w:val="99"/>
    <w:rsid w:val="006A4641"/>
    <w:rPr>
      <w:b/>
      <w:bCs/>
      <w:color w:val="000000"/>
      <w:sz w:val="22"/>
      <w:szCs w:val="22"/>
    </w:rPr>
  </w:style>
  <w:style w:type="character" w:customStyle="1" w:styleId="Heading2Char">
    <w:name w:val="Heading 2 Char"/>
    <w:basedOn w:val="DefaultParagraphFont"/>
    <w:link w:val="Heading2"/>
    <w:uiPriority w:val="9"/>
    <w:rsid w:val="00772A9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7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20"/>
    <w:rPr>
      <w:rFonts w:ascii="Segoe UI" w:hAnsi="Segoe UI" w:cs="Segoe UI"/>
      <w:sz w:val="18"/>
      <w:szCs w:val="18"/>
    </w:rPr>
  </w:style>
  <w:style w:type="table" w:styleId="TableGrid">
    <w:name w:val="Table Grid"/>
    <w:basedOn w:val="TableNormal"/>
    <w:uiPriority w:val="59"/>
    <w:rsid w:val="0063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803"/>
  </w:style>
  <w:style w:type="paragraph" w:styleId="Footer">
    <w:name w:val="footer"/>
    <w:basedOn w:val="Normal"/>
    <w:link w:val="FooterChar"/>
    <w:uiPriority w:val="99"/>
    <w:unhideWhenUsed/>
    <w:rsid w:val="00B7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803"/>
  </w:style>
  <w:style w:type="paragraph" w:customStyle="1" w:styleId="CharChar1CharCharCharCharCharCharCharCharChar">
    <w:name w:val="Char Char1 Char Char Char Char Char Char Char Char Char"/>
    <w:basedOn w:val="Normal"/>
    <w:rsid w:val="00F84313"/>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08FB0D3E24DD3A3E62F02EC2FF5E4"/>
        <w:category>
          <w:name w:val="General"/>
          <w:gallery w:val="placeholder"/>
        </w:category>
        <w:types>
          <w:type w:val="bbPlcHdr"/>
        </w:types>
        <w:behaviors>
          <w:behavior w:val="content"/>
        </w:behaviors>
        <w:guid w:val="{A3CF0EC8-9C00-4BE5-8B25-9A3FD5376ABD}"/>
      </w:docPartPr>
      <w:docPartBody>
        <w:p w:rsidR="00000000" w:rsidRDefault="00973447" w:rsidP="00973447">
          <w:pPr>
            <w:pStyle w:val="ECA08FB0D3E24DD3A3E62F02EC2FF5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47"/>
    <w:rsid w:val="0097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08FB0D3E24DD3A3E62F02EC2FF5E4">
    <w:name w:val="ECA08FB0D3E24DD3A3E62F02EC2FF5E4"/>
    <w:rsid w:val="0097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08FB0D3E24DD3A3E62F02EC2FF5E4">
    <w:name w:val="ECA08FB0D3E24DD3A3E62F02EC2FF5E4"/>
    <w:rsid w:val="00973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3EB8-2F78-466C-B56A-1DE5F716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Veira</dc:creator>
  <cp:lastModifiedBy>Lorraine Elms</cp:lastModifiedBy>
  <cp:revision>4</cp:revision>
  <cp:lastPrinted>2015-11-10T13:20:00Z</cp:lastPrinted>
  <dcterms:created xsi:type="dcterms:W3CDTF">2015-11-09T09:27:00Z</dcterms:created>
  <dcterms:modified xsi:type="dcterms:W3CDTF">2015-11-10T13:20:00Z</dcterms:modified>
</cp:coreProperties>
</file>