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696358" w:rsidP="002B3B5C">
            <w:pPr>
              <w:spacing w:before="120"/>
              <w:rPr>
                <w:sz w:val="24"/>
                <w:szCs w:val="24"/>
              </w:rPr>
            </w:pPr>
            <w:r>
              <w:rPr>
                <w:sz w:val="24"/>
                <w:szCs w:val="24"/>
              </w:rPr>
              <w:t>A model for future delivery of Children and Young People’s Specialist Service – a consultation paper</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696358" w:rsidP="002B3B5C">
            <w:pPr>
              <w:spacing w:before="240"/>
              <w:rPr>
                <w:sz w:val="24"/>
                <w:szCs w:val="24"/>
              </w:rPr>
            </w:pPr>
            <w:r>
              <w:rPr>
                <w:sz w:val="24"/>
                <w:szCs w:val="24"/>
              </w:rPr>
              <w:t>People and Communities: Safeguarding, Social Care and Family Service</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F0685B" w:rsidP="00696358">
            <w:pPr>
              <w:spacing w:before="240"/>
              <w:rPr>
                <w:sz w:val="24"/>
                <w:szCs w:val="24"/>
              </w:rPr>
            </w:pPr>
            <w:r>
              <w:rPr>
                <w:sz w:val="24"/>
                <w:szCs w:val="24"/>
              </w:rPr>
              <w:t>Maurice Lindsay, Divisional Director</w:t>
            </w:r>
            <w:r w:rsidR="00696358">
              <w:rPr>
                <w:sz w:val="24"/>
                <w:szCs w:val="24"/>
              </w:rPr>
              <w:t>,</w:t>
            </w:r>
            <w:r>
              <w:rPr>
                <w:sz w:val="24"/>
                <w:szCs w:val="24"/>
              </w:rPr>
              <w:t xml:space="preserve"> Safeguarding, Social</w:t>
            </w:r>
            <w:r w:rsidR="00696358">
              <w:rPr>
                <w:sz w:val="24"/>
                <w:szCs w:val="24"/>
              </w:rPr>
              <w:t xml:space="preserve"> Care</w:t>
            </w:r>
            <w:r>
              <w:rPr>
                <w:sz w:val="24"/>
                <w:szCs w:val="24"/>
              </w:rPr>
              <w:t xml:space="preserve"> and Family S</w:t>
            </w:r>
            <w:r w:rsidR="00696358">
              <w:rPr>
                <w:sz w:val="24"/>
                <w:szCs w:val="24"/>
              </w:rPr>
              <w:t>ervice</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696358" w:rsidP="00F0685B">
            <w:pPr>
              <w:spacing w:before="240"/>
              <w:rPr>
                <w:sz w:val="24"/>
                <w:szCs w:val="24"/>
              </w:rPr>
            </w:pPr>
            <w:r>
              <w:rPr>
                <w:sz w:val="24"/>
                <w:szCs w:val="24"/>
              </w:rPr>
              <w:t>21</w:t>
            </w:r>
            <w:r w:rsidRPr="00696358">
              <w:rPr>
                <w:sz w:val="24"/>
                <w:szCs w:val="24"/>
                <w:vertAlign w:val="superscript"/>
              </w:rPr>
              <w:t>st</w:t>
            </w:r>
            <w:r>
              <w:rPr>
                <w:sz w:val="24"/>
                <w:szCs w:val="24"/>
              </w:rPr>
              <w:t xml:space="preserve"> September 2012</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w:t>
      </w:r>
      <w:proofErr w:type="spellStart"/>
      <w:r w:rsidRPr="002B3B5C">
        <w:rPr>
          <w:rFonts w:ascii="Arial" w:hAnsi="Arial"/>
          <w:color w:val="000000"/>
          <w:lang w:val="en"/>
        </w:rPr>
        <w:t>analysing</w:t>
      </w:r>
      <w:proofErr w:type="spellEnd"/>
      <w:r w:rsidRPr="002B3B5C">
        <w:rPr>
          <w:rFonts w:ascii="Arial" w:hAnsi="Arial"/>
          <w:color w:val="000000"/>
          <w:lang w:val="en"/>
        </w:rPr>
        <w:t xml:space="preserve">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5245"/>
        <w:gridCol w:w="26"/>
        <w:gridCol w:w="652"/>
        <w:gridCol w:w="3449"/>
        <w:gridCol w:w="4095"/>
        <w:gridCol w:w="32"/>
      </w:tblGrid>
      <w:tr w:rsidR="00744837">
        <w:trPr>
          <w:gridAfter w:val="1"/>
          <w:wAfter w:w="32" w:type="dxa"/>
        </w:trPr>
        <w:tc>
          <w:tcPr>
            <w:tcW w:w="675" w:type="dxa"/>
            <w:gridSpan w:val="2"/>
            <w:shd w:val="clear" w:color="auto" w:fill="D9D9D9"/>
            <w:vAlign w:val="center"/>
          </w:tcPr>
          <w:p w:rsidR="00744837" w:rsidRDefault="00744837" w:rsidP="00744837">
            <w:r w:rsidRPr="00744837">
              <w:rPr>
                <w:b/>
                <w:sz w:val="24"/>
                <w:szCs w:val="24"/>
              </w:rPr>
              <w:t>1.</w:t>
            </w:r>
            <w:r>
              <w:t xml:space="preserve"> </w:t>
            </w:r>
          </w:p>
        </w:tc>
        <w:tc>
          <w:tcPr>
            <w:tcW w:w="13467"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trPr>
          <w:gridAfter w:val="1"/>
          <w:wAfter w:w="32" w:type="dxa"/>
          <w:trHeight w:val="407"/>
        </w:trPr>
        <w:tc>
          <w:tcPr>
            <w:tcW w:w="675" w:type="dxa"/>
            <w:gridSpan w:val="2"/>
          </w:tcPr>
          <w:p w:rsidR="002B3B5C" w:rsidRDefault="002B3B5C"/>
        </w:tc>
        <w:tc>
          <w:tcPr>
            <w:tcW w:w="5271" w:type="dxa"/>
            <w:gridSpan w:val="2"/>
          </w:tcPr>
          <w:p w:rsidR="002B3B5C" w:rsidRDefault="002B3B5C" w:rsidP="002B3B5C">
            <w:pPr>
              <w:rPr>
                <w:b/>
                <w:sz w:val="24"/>
                <w:szCs w:val="24"/>
              </w:rPr>
            </w:pPr>
            <w:r>
              <w:rPr>
                <w:b/>
                <w:sz w:val="24"/>
                <w:szCs w:val="24"/>
              </w:rPr>
              <w:t>Key questions</w:t>
            </w:r>
          </w:p>
        </w:tc>
        <w:tc>
          <w:tcPr>
            <w:tcW w:w="8196" w:type="dxa"/>
            <w:gridSpan w:val="3"/>
            <w:vAlign w:val="center"/>
          </w:tcPr>
          <w:p w:rsidR="002B3B5C" w:rsidRDefault="002B3B5C">
            <w:pPr>
              <w:rPr>
                <w:b/>
                <w:sz w:val="24"/>
                <w:szCs w:val="24"/>
              </w:rPr>
            </w:pPr>
            <w:r>
              <w:rPr>
                <w:b/>
                <w:sz w:val="24"/>
                <w:szCs w:val="24"/>
              </w:rPr>
              <w:t>Answers / Notes</w:t>
            </w:r>
          </w:p>
        </w:tc>
      </w:tr>
      <w:tr w:rsidR="002B3B5C">
        <w:trPr>
          <w:gridAfter w:val="1"/>
          <w:wAfter w:w="32" w:type="dxa"/>
        </w:trPr>
        <w:tc>
          <w:tcPr>
            <w:tcW w:w="675" w:type="dxa"/>
            <w:gridSpan w:val="2"/>
          </w:tcPr>
          <w:p w:rsidR="002B3B5C" w:rsidRPr="002B3B5C" w:rsidRDefault="002B3B5C" w:rsidP="002B3B5C">
            <w:pPr>
              <w:rPr>
                <w:b/>
                <w:sz w:val="24"/>
                <w:szCs w:val="24"/>
              </w:rPr>
            </w:pPr>
            <w:r w:rsidRPr="002B3B5C">
              <w:rPr>
                <w:b/>
                <w:sz w:val="24"/>
                <w:szCs w:val="24"/>
              </w:rPr>
              <w:t>1.1</w:t>
            </w:r>
          </w:p>
        </w:tc>
        <w:tc>
          <w:tcPr>
            <w:tcW w:w="5271"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6" w:type="dxa"/>
            <w:gridSpan w:val="3"/>
          </w:tcPr>
          <w:p w:rsidR="00E66E8B" w:rsidRDefault="00696358" w:rsidP="002B3B5C">
            <w:r>
              <w:t>The consultation paper details how specialist services will be planned, developed and delivered to children, young people, parents and carers in Bath and North East Somerset.</w:t>
            </w:r>
          </w:p>
          <w:p w:rsidR="00696358" w:rsidRDefault="00696358" w:rsidP="00696358">
            <w:pPr>
              <w:numPr>
                <w:ilvl w:val="0"/>
                <w:numId w:val="33"/>
              </w:numPr>
            </w:pPr>
            <w:r>
              <w:t>The Service will be delivered by a range of children’s social work teams and youth offending services</w:t>
            </w:r>
          </w:p>
          <w:p w:rsidR="00696358" w:rsidRDefault="00696358" w:rsidP="00696358">
            <w:pPr>
              <w:numPr>
                <w:ilvl w:val="0"/>
                <w:numId w:val="33"/>
              </w:numPr>
            </w:pPr>
            <w:r>
              <w:t>Responsibility for its implementation will be shared with other divisions within the People and Communities Department.</w:t>
            </w:r>
          </w:p>
          <w:p w:rsidR="00696358" w:rsidRPr="00E66E8B" w:rsidRDefault="00696358" w:rsidP="00696358">
            <w:pPr>
              <w:numPr>
                <w:ilvl w:val="0"/>
                <w:numId w:val="33"/>
              </w:numPr>
            </w:pPr>
            <w:r>
              <w:t>To provide a range of specialist services within a continuum of services provided to children and young people to ensure that their identified needs are met by the right service at the right time: to safeguard and promote the welfare of identified children at risk: to promote the life chances of children in care and leaving care.</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1.2</w:t>
            </w:r>
          </w:p>
        </w:tc>
        <w:tc>
          <w:tcPr>
            <w:tcW w:w="5271"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6" w:type="dxa"/>
            <w:gridSpan w:val="3"/>
          </w:tcPr>
          <w:p w:rsidR="00A96A7A" w:rsidRDefault="00F10380" w:rsidP="00A96A7A">
            <w:pPr>
              <w:numPr>
                <w:ilvl w:val="0"/>
                <w:numId w:val="22"/>
              </w:numPr>
            </w:pPr>
            <w:r>
              <w:t>This is a re-design of the existing Children’s Social Care and Youth Offending Service within the overall proposal for the structure for the People and Communities Department.</w:t>
            </w:r>
          </w:p>
          <w:p w:rsidR="00F10380" w:rsidRDefault="00F10380" w:rsidP="00A96A7A">
            <w:pPr>
              <w:numPr>
                <w:ilvl w:val="0"/>
                <w:numId w:val="22"/>
              </w:numPr>
            </w:pPr>
            <w:r>
              <w:t xml:space="preserve">It is not a national </w:t>
            </w:r>
            <w:r w:rsidR="00D46881">
              <w:t>requirement;</w:t>
            </w:r>
            <w:r>
              <w:t xml:space="preserve"> thought the Munro Review of Child Protection did include a recommendation that Local Authorities review their delivery of Children’s Social Care Services.</w:t>
            </w:r>
          </w:p>
          <w:p w:rsidR="00F10380" w:rsidRDefault="00F10380" w:rsidP="00A96A7A">
            <w:pPr>
              <w:numPr>
                <w:ilvl w:val="0"/>
                <w:numId w:val="22"/>
              </w:numPr>
            </w:pPr>
            <w:r>
              <w:t xml:space="preserve">The re-design is taking place within the restructuring of the Council into 3 Services (People: Place: Resources) and the establishment of the People and Communities Department from April 2013 and is therefore operating </w:t>
            </w:r>
            <w:r>
              <w:lastRenderedPageBreak/>
              <w:t>within those parameters and within the resources and budgets currently allocated.  It will need to take account of the impact of changing central Government funding arrangements and Council budget savings being planned for the next 3 financial years.</w:t>
            </w:r>
          </w:p>
        </w:tc>
      </w:tr>
      <w:tr w:rsidR="002B3B5C">
        <w:trPr>
          <w:gridAfter w:val="1"/>
          <w:wAfter w:w="32" w:type="dxa"/>
        </w:trPr>
        <w:tc>
          <w:tcPr>
            <w:tcW w:w="675"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lastRenderedPageBreak/>
              <w:t>1.3</w:t>
            </w:r>
          </w:p>
        </w:tc>
        <w:tc>
          <w:tcPr>
            <w:tcW w:w="5271"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96" w:type="dxa"/>
            <w:gridSpan w:val="3"/>
          </w:tcPr>
          <w:p w:rsidR="00A96A7A" w:rsidRPr="00A96A7A" w:rsidRDefault="00F10380" w:rsidP="00F10380">
            <w:pPr>
              <w:spacing w:before="40" w:after="40"/>
              <w:rPr>
                <w:bCs/>
              </w:rPr>
            </w:pPr>
            <w:r>
              <w:rPr>
                <w:bCs/>
              </w:rPr>
              <w:t>No – they promote Council policies in respect of equalities: access to services: improving outcomes for children and young people</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2B3B5C">
            <w:pPr>
              <w:rPr>
                <w:rFonts w:cs="Arial"/>
                <w:sz w:val="24"/>
                <w:szCs w:val="24"/>
              </w:rPr>
            </w:pPr>
          </w:p>
          <w:p w:rsidR="002B3B5C" w:rsidRPr="002B3B5C" w:rsidRDefault="002B3B5C" w:rsidP="002B3B5C">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trPr>
          <w:gridAfter w:val="1"/>
          <w:wAfter w:w="32" w:type="dxa"/>
        </w:trPr>
        <w:tc>
          <w:tcPr>
            <w:tcW w:w="675" w:type="dxa"/>
            <w:gridSpan w:val="2"/>
          </w:tcPr>
          <w:p w:rsidR="002B3B5C" w:rsidRDefault="002B3B5C">
            <w:pPr>
              <w:rPr>
                <w:sz w:val="24"/>
                <w:szCs w:val="24"/>
              </w:rPr>
            </w:pPr>
          </w:p>
        </w:tc>
        <w:tc>
          <w:tcPr>
            <w:tcW w:w="592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4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2.1</w:t>
            </w:r>
          </w:p>
        </w:tc>
        <w:tc>
          <w:tcPr>
            <w:tcW w:w="5923" w:type="dxa"/>
            <w:gridSpan w:val="3"/>
          </w:tcPr>
          <w:p w:rsidR="002B3B5C" w:rsidRPr="00F93043" w:rsidRDefault="002B3B5C">
            <w:pPr>
              <w:rPr>
                <w:sz w:val="24"/>
                <w:szCs w:val="24"/>
              </w:rPr>
            </w:pPr>
            <w:r>
              <w:rPr>
                <w:sz w:val="24"/>
                <w:szCs w:val="24"/>
              </w:rPr>
              <w:t xml:space="preserve">What is the equalities profile of the team delivering the service/policy? </w:t>
            </w:r>
          </w:p>
        </w:tc>
        <w:tc>
          <w:tcPr>
            <w:tcW w:w="7544" w:type="dxa"/>
            <w:gridSpan w:val="2"/>
            <w:shd w:val="clear" w:color="auto" w:fill="auto"/>
          </w:tcPr>
          <w:p w:rsidR="00136479" w:rsidRDefault="00C044AC" w:rsidP="00D46881">
            <w:r>
              <w:t>Staff establishment: staffing profile: recruitment practice.  The staff providing the service are predominately White British and female: minority ethnic groups and disabled people are underrepresented.</w:t>
            </w:r>
          </w:p>
        </w:tc>
      </w:tr>
      <w:tr w:rsidR="002B3B5C">
        <w:trPr>
          <w:gridAfter w:val="1"/>
          <w:wAfter w:w="32" w:type="dxa"/>
          <w:trHeight w:val="104"/>
        </w:trPr>
        <w:tc>
          <w:tcPr>
            <w:tcW w:w="675" w:type="dxa"/>
            <w:gridSpan w:val="2"/>
          </w:tcPr>
          <w:p w:rsidR="002B3B5C" w:rsidRPr="002B3B5C" w:rsidRDefault="002B3B5C">
            <w:pPr>
              <w:rPr>
                <w:b/>
                <w:sz w:val="24"/>
                <w:szCs w:val="24"/>
              </w:rPr>
            </w:pPr>
            <w:r w:rsidRPr="002B3B5C">
              <w:rPr>
                <w:b/>
                <w:sz w:val="24"/>
                <w:szCs w:val="24"/>
              </w:rPr>
              <w:t>2.2</w:t>
            </w:r>
          </w:p>
        </w:tc>
        <w:tc>
          <w:tcPr>
            <w:tcW w:w="5923" w:type="dxa"/>
            <w:gridSpan w:val="3"/>
          </w:tcPr>
          <w:p w:rsidR="002B3B5C" w:rsidRDefault="002B3B5C">
            <w:pPr>
              <w:rPr>
                <w:sz w:val="24"/>
                <w:szCs w:val="24"/>
              </w:rPr>
            </w:pPr>
            <w:r>
              <w:rPr>
                <w:sz w:val="24"/>
                <w:szCs w:val="24"/>
              </w:rPr>
              <w:t>What equalities training have staff received?</w:t>
            </w:r>
          </w:p>
        </w:tc>
        <w:tc>
          <w:tcPr>
            <w:tcW w:w="7544" w:type="dxa"/>
            <w:gridSpan w:val="2"/>
            <w:shd w:val="clear" w:color="auto" w:fill="auto"/>
          </w:tcPr>
          <w:p w:rsidR="002B3B5C" w:rsidRDefault="00C044AC">
            <w:r>
              <w:t>Common Induction training: Equalities training: Workshops re equalities impact assessments.  Equalities is a theme throughout all staff training.  Equalities Impact Assessments completed by all Social Care teams.</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2.3</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44" w:type="dxa"/>
            <w:gridSpan w:val="2"/>
            <w:shd w:val="clear" w:color="auto" w:fill="auto"/>
          </w:tcPr>
          <w:p w:rsidR="002B3B5C" w:rsidRDefault="00847B34">
            <w:r>
              <w:t xml:space="preserve">Children and Young People’s Plan: Children’s Service Monitoring and Management Information Reports.  Service users are predominantly White </w:t>
            </w:r>
            <w:r>
              <w:lastRenderedPageBreak/>
              <w:t>British.  BOME children and young people are overrepresented in numbers in care: with protection plans: in youth justice services, though absolute numbers are low.  More males in care than females.</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lastRenderedPageBreak/>
              <w:t xml:space="preserve">2.4 </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w:t>
            </w:r>
            <w:proofErr w:type="spellStart"/>
            <w:r>
              <w:rPr>
                <w:sz w:val="24"/>
                <w:szCs w:val="24"/>
              </w:rPr>
              <w:t>e.g</w:t>
            </w:r>
            <w:proofErr w:type="spellEnd"/>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44" w:type="dxa"/>
            <w:gridSpan w:val="2"/>
            <w:shd w:val="clear" w:color="auto" w:fill="auto"/>
          </w:tcPr>
          <w:p w:rsidR="00136479" w:rsidRDefault="00847B34" w:rsidP="00272C3A">
            <w:r>
              <w:t>All teams employ feedback processes with service users.  Regular consultations with children and young people in care.  Children and young people’s views inform assessments, plans</w:t>
            </w:r>
            <w:r w:rsidR="00751542">
              <w:t>,</w:t>
            </w:r>
            <w:r>
              <w:t xml:space="preserve"> case conferences and looked after children reviews.  </w:t>
            </w:r>
            <w:r w:rsidR="00751542">
              <w:t>Parent’s</w:t>
            </w:r>
            <w:r>
              <w:t xml:space="preserve"> views inform assessments, plans and reviews.  Children and young people’s views inform Team Plans.  Consultations re Children and Young People’s Plan in extensive and undertaken annually.  Complaints, representations and compliments also reflect levels of customer satisfaction.</w:t>
            </w:r>
          </w:p>
        </w:tc>
      </w:tr>
      <w:tr w:rsidR="00532357">
        <w:trPr>
          <w:gridAfter w:val="1"/>
          <w:wAfter w:w="32" w:type="dxa"/>
        </w:trPr>
        <w:tc>
          <w:tcPr>
            <w:tcW w:w="675" w:type="dxa"/>
            <w:gridSpan w:val="2"/>
          </w:tcPr>
          <w:p w:rsidR="00532357" w:rsidRPr="002B3B5C" w:rsidRDefault="00532357">
            <w:pPr>
              <w:rPr>
                <w:b/>
                <w:sz w:val="24"/>
                <w:szCs w:val="24"/>
              </w:rPr>
            </w:pPr>
            <w:r>
              <w:rPr>
                <w:b/>
                <w:sz w:val="24"/>
                <w:szCs w:val="24"/>
              </w:rPr>
              <w:t>2.5</w:t>
            </w:r>
          </w:p>
        </w:tc>
        <w:tc>
          <w:tcPr>
            <w:tcW w:w="5923"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44" w:type="dxa"/>
            <w:gridSpan w:val="2"/>
            <w:shd w:val="clear" w:color="auto" w:fill="auto"/>
          </w:tcPr>
          <w:p w:rsidR="00532357" w:rsidRDefault="00847B34" w:rsidP="00272C3A">
            <w:r>
              <w:t>All Children’s Social Care staff involved in consultations re: Lean Review and Re-design.  Feedback informed draft versions of the consultation paper</w:t>
            </w:r>
            <w:r w:rsidR="00623F1C">
              <w:t>.</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2.6</w:t>
            </w:r>
          </w:p>
        </w:tc>
        <w:tc>
          <w:tcPr>
            <w:tcW w:w="5923" w:type="dxa"/>
            <w:gridSpan w:val="3"/>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44" w:type="dxa"/>
            <w:gridSpan w:val="2"/>
            <w:shd w:val="clear" w:color="auto" w:fill="auto"/>
          </w:tcPr>
          <w:p w:rsidR="002B3B5C" w:rsidRDefault="00623F1C" w:rsidP="00272C3A">
            <w:r>
              <w:t>To be undertaken within the formal consultation period commencing 08/10/12.</w:t>
            </w:r>
          </w:p>
        </w:tc>
      </w:tr>
      <w:tr w:rsidR="004E418F" w:rsidTr="00FF1644">
        <w:tc>
          <w:tcPr>
            <w:tcW w:w="14174" w:type="dxa"/>
            <w:gridSpan w:val="8"/>
            <w:shd w:val="clear" w:color="auto" w:fill="D9D9D9"/>
            <w:vAlign w:val="center"/>
          </w:tcPr>
          <w:p w:rsidR="002B3B5C" w:rsidRDefault="002B3B5C" w:rsidP="00FF1644">
            <w:pPr>
              <w:spacing w:before="40" w:after="40" w:line="480" w:lineRule="auto"/>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tc>
      </w:tr>
      <w:tr w:rsidR="006B2DF8">
        <w:tc>
          <w:tcPr>
            <w:tcW w:w="648" w:type="dxa"/>
          </w:tcPr>
          <w:p w:rsidR="006B2DF8" w:rsidRDefault="006B2DF8">
            <w:pPr>
              <w:rPr>
                <w:b/>
                <w:sz w:val="28"/>
                <w:szCs w:val="28"/>
              </w:rPr>
            </w:pPr>
          </w:p>
        </w:tc>
        <w:tc>
          <w:tcPr>
            <w:tcW w:w="13526"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tc>
          <w:tcPr>
            <w:tcW w:w="648" w:type="dxa"/>
          </w:tcPr>
          <w:p w:rsidR="002B3B5C" w:rsidRPr="00F93043" w:rsidRDefault="002B3B5C">
            <w:pPr>
              <w:rPr>
                <w:sz w:val="24"/>
                <w:szCs w:val="24"/>
              </w:rPr>
            </w:pPr>
          </w:p>
        </w:tc>
        <w:tc>
          <w:tcPr>
            <w:tcW w:w="5272" w:type="dxa"/>
            <w:gridSpan w:val="2"/>
          </w:tcPr>
          <w:p w:rsidR="002B3B5C" w:rsidRPr="00F93043" w:rsidRDefault="002B3B5C" w:rsidP="00C70B44">
            <w:pPr>
              <w:rPr>
                <w:sz w:val="24"/>
                <w:szCs w:val="24"/>
              </w:rPr>
            </w:pPr>
          </w:p>
        </w:tc>
        <w:tc>
          <w:tcPr>
            <w:tcW w:w="4127" w:type="dxa"/>
            <w:gridSpan w:val="3"/>
            <w:shd w:val="clear" w:color="auto" w:fill="auto"/>
          </w:tcPr>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127"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2B3B5C">
        <w:tc>
          <w:tcPr>
            <w:tcW w:w="648" w:type="dxa"/>
          </w:tcPr>
          <w:p w:rsidR="002B3B5C" w:rsidRPr="002B3B5C" w:rsidRDefault="002B3B5C">
            <w:pPr>
              <w:rPr>
                <w:b/>
                <w:sz w:val="24"/>
                <w:szCs w:val="24"/>
              </w:rPr>
            </w:pPr>
            <w:r w:rsidRPr="002B3B5C">
              <w:rPr>
                <w:b/>
                <w:sz w:val="24"/>
                <w:szCs w:val="24"/>
              </w:rPr>
              <w:t>3.1</w:t>
            </w:r>
          </w:p>
        </w:tc>
        <w:tc>
          <w:tcPr>
            <w:tcW w:w="5272" w:type="dxa"/>
            <w:gridSpan w:val="2"/>
          </w:tcPr>
          <w:p w:rsidR="002B3B5C" w:rsidRDefault="002B3B5C">
            <w:pPr>
              <w:rPr>
                <w:sz w:val="24"/>
                <w:szCs w:val="24"/>
              </w:rPr>
            </w:pPr>
            <w:r w:rsidRPr="00F93043">
              <w:rPr>
                <w:b/>
                <w:sz w:val="24"/>
                <w:szCs w:val="24"/>
              </w:rPr>
              <w:t xml:space="preserve">Gender </w:t>
            </w:r>
            <w:r w:rsidRPr="00F93043">
              <w:rPr>
                <w:sz w:val="24"/>
                <w:szCs w:val="24"/>
              </w:rPr>
              <w:t>– identify the impact/potential impact of the policy on women</w:t>
            </w:r>
            <w:r w:rsidR="008B760D">
              <w:rPr>
                <w:sz w:val="24"/>
                <w:szCs w:val="24"/>
              </w:rPr>
              <w:t xml:space="preserve"> and men.  (Are there any issues regarding pregnancy and maternity?)</w:t>
            </w:r>
          </w:p>
          <w:p w:rsidR="002B3B5C" w:rsidRPr="002B3B5C" w:rsidRDefault="002B3B5C">
            <w:pPr>
              <w:rPr>
                <w:sz w:val="24"/>
                <w:szCs w:val="24"/>
              </w:rPr>
            </w:pPr>
          </w:p>
        </w:tc>
        <w:tc>
          <w:tcPr>
            <w:tcW w:w="4127" w:type="dxa"/>
            <w:gridSpan w:val="3"/>
            <w:shd w:val="clear" w:color="auto" w:fill="auto"/>
          </w:tcPr>
          <w:p w:rsidR="002B3B5C" w:rsidRDefault="00623F1C" w:rsidP="00623F1C">
            <w:pPr>
              <w:numPr>
                <w:ilvl w:val="0"/>
                <w:numId w:val="34"/>
              </w:numPr>
            </w:pPr>
            <w:r>
              <w:t>Commitment to Parenting Services</w:t>
            </w:r>
          </w:p>
          <w:p w:rsidR="00623F1C" w:rsidRDefault="00623F1C" w:rsidP="00623F1C">
            <w:pPr>
              <w:numPr>
                <w:ilvl w:val="0"/>
                <w:numId w:val="34"/>
              </w:numPr>
            </w:pPr>
            <w:r>
              <w:t>Celebrating Fatherhood Year</w:t>
            </w:r>
          </w:p>
          <w:p w:rsidR="00623F1C" w:rsidRDefault="00623F1C" w:rsidP="00623F1C">
            <w:pPr>
              <w:numPr>
                <w:ilvl w:val="0"/>
                <w:numId w:val="34"/>
              </w:numPr>
            </w:pPr>
            <w:r>
              <w:t>Commitment to Domestic Violence Service</w:t>
            </w:r>
          </w:p>
          <w:p w:rsidR="00623F1C" w:rsidRDefault="00623F1C" w:rsidP="00623F1C">
            <w:pPr>
              <w:numPr>
                <w:ilvl w:val="0"/>
                <w:numId w:val="34"/>
              </w:numPr>
            </w:pPr>
            <w:r>
              <w:t>Working with perpetrators of abuse</w:t>
            </w:r>
          </w:p>
        </w:tc>
        <w:tc>
          <w:tcPr>
            <w:tcW w:w="4127" w:type="dxa"/>
            <w:gridSpan w:val="2"/>
            <w:shd w:val="clear" w:color="auto" w:fill="auto"/>
          </w:tcPr>
          <w:p w:rsidR="002B3B5C" w:rsidRDefault="002B3B5C" w:rsidP="002B3B5C"/>
        </w:tc>
      </w:tr>
      <w:tr w:rsidR="00C523B9">
        <w:tc>
          <w:tcPr>
            <w:tcW w:w="648" w:type="dxa"/>
          </w:tcPr>
          <w:p w:rsidR="00C523B9" w:rsidRPr="002B3B5C" w:rsidRDefault="00C523B9">
            <w:pPr>
              <w:rPr>
                <w:b/>
                <w:sz w:val="24"/>
                <w:szCs w:val="24"/>
              </w:rPr>
            </w:pPr>
            <w:r>
              <w:rPr>
                <w:b/>
                <w:sz w:val="24"/>
                <w:szCs w:val="24"/>
              </w:rPr>
              <w:t>3.2</w:t>
            </w:r>
          </w:p>
        </w:tc>
        <w:tc>
          <w:tcPr>
            <w:tcW w:w="5272" w:type="dxa"/>
            <w:gridSpan w:val="2"/>
          </w:tcPr>
          <w:p w:rsidR="00C523B9" w:rsidRDefault="00C523B9">
            <w:pPr>
              <w:rPr>
                <w:sz w:val="24"/>
                <w:szCs w:val="24"/>
              </w:rPr>
            </w:pPr>
            <w:r>
              <w:rPr>
                <w:b/>
                <w:sz w:val="24"/>
                <w:szCs w:val="24"/>
              </w:rPr>
              <w:t xml:space="preserve">Transgender –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p w:rsidR="00C523B9" w:rsidRPr="008B760D" w:rsidRDefault="00C523B9">
            <w:pPr>
              <w:rPr>
                <w:sz w:val="24"/>
                <w:szCs w:val="24"/>
              </w:rPr>
            </w:pPr>
          </w:p>
        </w:tc>
        <w:tc>
          <w:tcPr>
            <w:tcW w:w="4127" w:type="dxa"/>
            <w:gridSpan w:val="3"/>
            <w:shd w:val="clear" w:color="auto" w:fill="auto"/>
          </w:tcPr>
          <w:p w:rsidR="00C523B9" w:rsidRDefault="00623F1C" w:rsidP="00623F1C">
            <w:pPr>
              <w:numPr>
                <w:ilvl w:val="0"/>
                <w:numId w:val="35"/>
              </w:numPr>
            </w:pPr>
            <w:r>
              <w:t xml:space="preserve">Promotes diversity and supports individual identity – </w:t>
            </w:r>
            <w:r w:rsidR="00751542">
              <w:t>e.g.</w:t>
            </w:r>
            <w:r>
              <w:t xml:space="preserve"> work with young people in care</w:t>
            </w:r>
          </w:p>
        </w:tc>
        <w:tc>
          <w:tcPr>
            <w:tcW w:w="4127" w:type="dxa"/>
            <w:gridSpan w:val="2"/>
            <w:shd w:val="clear" w:color="auto" w:fill="auto"/>
          </w:tcPr>
          <w:p w:rsidR="00C523B9" w:rsidRDefault="00C523B9" w:rsidP="002B3B5C"/>
        </w:tc>
      </w:tr>
      <w:tr w:rsidR="002B3B5C">
        <w:tc>
          <w:tcPr>
            <w:tcW w:w="648" w:type="dxa"/>
          </w:tcPr>
          <w:p w:rsidR="002B3B5C" w:rsidRPr="002B3B5C" w:rsidRDefault="008B760D">
            <w:pPr>
              <w:rPr>
                <w:b/>
                <w:sz w:val="24"/>
                <w:szCs w:val="24"/>
              </w:rPr>
            </w:pPr>
            <w:r>
              <w:rPr>
                <w:b/>
                <w:sz w:val="24"/>
                <w:szCs w:val="24"/>
              </w:rPr>
              <w:t>3.3</w:t>
            </w:r>
          </w:p>
        </w:tc>
        <w:tc>
          <w:tcPr>
            <w:tcW w:w="5272" w:type="dxa"/>
            <w:gridSpan w:val="2"/>
          </w:tcPr>
          <w:p w:rsidR="002B3B5C" w:rsidRDefault="002B3B5C">
            <w:pPr>
              <w:rPr>
                <w:sz w:val="24"/>
                <w:szCs w:val="24"/>
              </w:rPr>
            </w:pPr>
            <w:r w:rsidRPr="00F93043">
              <w:rPr>
                <w:b/>
                <w:sz w:val="24"/>
                <w:szCs w:val="24"/>
              </w:rPr>
              <w:t>Disability</w:t>
            </w:r>
            <w:r w:rsidRPr="00F93043">
              <w:rPr>
                <w:sz w:val="24"/>
                <w:szCs w:val="24"/>
              </w:rPr>
              <w:t xml:space="preserve"> </w:t>
            </w:r>
            <w:r w:rsidR="00C523B9">
              <w:rPr>
                <w:sz w:val="24"/>
                <w:szCs w:val="24"/>
              </w:rPr>
              <w:t>–</w:t>
            </w:r>
            <w:r w:rsidRPr="00F93043">
              <w:rPr>
                <w:sz w:val="24"/>
                <w:szCs w:val="24"/>
              </w:rPr>
              <w:t xml:space="preserve"> identify the impact/potential impact of the policy on disabled people (ensure consideration of a range of impairments</w:t>
            </w:r>
            <w:r>
              <w:rPr>
                <w:sz w:val="24"/>
                <w:szCs w:val="24"/>
              </w:rPr>
              <w:t xml:space="preserve"> including both physical and mental impairments)</w:t>
            </w:r>
          </w:p>
          <w:p w:rsidR="002B3B5C" w:rsidRPr="00F93043" w:rsidRDefault="002B3B5C">
            <w:pPr>
              <w:rPr>
                <w:sz w:val="24"/>
                <w:szCs w:val="24"/>
              </w:rPr>
            </w:pPr>
            <w:r w:rsidDel="00037611">
              <w:rPr>
                <w:sz w:val="24"/>
                <w:szCs w:val="24"/>
              </w:rPr>
              <w:t xml:space="preserve"> </w:t>
            </w:r>
          </w:p>
        </w:tc>
        <w:tc>
          <w:tcPr>
            <w:tcW w:w="4127" w:type="dxa"/>
            <w:gridSpan w:val="3"/>
            <w:shd w:val="clear" w:color="auto" w:fill="auto"/>
          </w:tcPr>
          <w:p w:rsidR="00C523B9" w:rsidRDefault="00623F1C" w:rsidP="00623F1C">
            <w:pPr>
              <w:numPr>
                <w:ilvl w:val="0"/>
                <w:numId w:val="35"/>
              </w:numPr>
            </w:pPr>
            <w:r>
              <w:t>Maintains specialist service and support to disabled children, young people and their carers</w:t>
            </w:r>
          </w:p>
        </w:tc>
        <w:tc>
          <w:tcPr>
            <w:tcW w:w="4127" w:type="dxa"/>
            <w:gridSpan w:val="2"/>
            <w:shd w:val="clear" w:color="auto" w:fill="auto"/>
          </w:tcPr>
          <w:p w:rsidR="002B3B5C" w:rsidRDefault="002B3B5C" w:rsidP="002B3B5C"/>
        </w:tc>
      </w:tr>
      <w:tr w:rsidR="002B3B5C">
        <w:tc>
          <w:tcPr>
            <w:tcW w:w="648" w:type="dxa"/>
          </w:tcPr>
          <w:p w:rsidR="002B3B5C" w:rsidRPr="002B3B5C" w:rsidRDefault="002B3B5C">
            <w:pPr>
              <w:rPr>
                <w:b/>
                <w:sz w:val="24"/>
                <w:szCs w:val="24"/>
              </w:rPr>
            </w:pPr>
            <w:r w:rsidRPr="002B3B5C">
              <w:rPr>
                <w:b/>
                <w:sz w:val="24"/>
                <w:szCs w:val="24"/>
              </w:rPr>
              <w:t>3.</w:t>
            </w:r>
            <w:r w:rsidR="008B760D">
              <w:rPr>
                <w:b/>
                <w:sz w:val="24"/>
                <w:szCs w:val="24"/>
              </w:rPr>
              <w:t>4</w:t>
            </w:r>
          </w:p>
        </w:tc>
        <w:tc>
          <w:tcPr>
            <w:tcW w:w="5272"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4127" w:type="dxa"/>
            <w:gridSpan w:val="3"/>
            <w:shd w:val="clear" w:color="auto" w:fill="auto"/>
          </w:tcPr>
          <w:p w:rsidR="002B3B5C" w:rsidRDefault="00623F1C" w:rsidP="00623F1C">
            <w:pPr>
              <w:numPr>
                <w:ilvl w:val="0"/>
                <w:numId w:val="35"/>
              </w:numPr>
            </w:pPr>
            <w:r>
              <w:t>Commitment to services for 0 – 19, and 24/25 in line with identified needs</w:t>
            </w:r>
          </w:p>
        </w:tc>
        <w:tc>
          <w:tcPr>
            <w:tcW w:w="4127" w:type="dxa"/>
            <w:gridSpan w:val="2"/>
            <w:shd w:val="clear" w:color="auto" w:fill="auto"/>
          </w:tcPr>
          <w:p w:rsidR="002B3B5C" w:rsidRDefault="002B3B5C" w:rsidP="002B3B5C"/>
        </w:tc>
      </w:tr>
      <w:tr w:rsidR="002B3B5C">
        <w:trPr>
          <w:trHeight w:val="559"/>
        </w:trPr>
        <w:tc>
          <w:tcPr>
            <w:tcW w:w="648" w:type="dxa"/>
          </w:tcPr>
          <w:p w:rsidR="002B3B5C" w:rsidRPr="002B3B5C" w:rsidRDefault="008B760D">
            <w:pPr>
              <w:rPr>
                <w:b/>
                <w:sz w:val="24"/>
                <w:szCs w:val="24"/>
              </w:rPr>
            </w:pPr>
            <w:r>
              <w:rPr>
                <w:b/>
                <w:sz w:val="24"/>
                <w:szCs w:val="24"/>
              </w:rPr>
              <w:t>3.5</w:t>
            </w:r>
          </w:p>
        </w:tc>
        <w:tc>
          <w:tcPr>
            <w:tcW w:w="5272" w:type="dxa"/>
            <w:gridSpan w:val="2"/>
          </w:tcPr>
          <w:p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2B3B5C" w:rsidRPr="00F93043" w:rsidRDefault="002B3B5C">
            <w:pPr>
              <w:rPr>
                <w:sz w:val="24"/>
                <w:szCs w:val="24"/>
              </w:rPr>
            </w:pPr>
          </w:p>
        </w:tc>
        <w:tc>
          <w:tcPr>
            <w:tcW w:w="4127" w:type="dxa"/>
            <w:gridSpan w:val="3"/>
            <w:shd w:val="clear" w:color="auto" w:fill="auto"/>
          </w:tcPr>
          <w:p w:rsidR="001D0073" w:rsidRDefault="00623F1C" w:rsidP="00623F1C">
            <w:pPr>
              <w:numPr>
                <w:ilvl w:val="0"/>
                <w:numId w:val="35"/>
              </w:numPr>
            </w:pPr>
            <w:r>
              <w:t>Promotes diversity and supports individual identity</w:t>
            </w:r>
          </w:p>
          <w:p w:rsidR="00623F1C" w:rsidRDefault="00623F1C" w:rsidP="00623F1C">
            <w:pPr>
              <w:numPr>
                <w:ilvl w:val="0"/>
                <w:numId w:val="35"/>
              </w:numPr>
            </w:pPr>
            <w:r>
              <w:t>Promotes commitment to ensuring that cultural needs inform assessments, plans and services</w:t>
            </w:r>
          </w:p>
          <w:p w:rsidR="00226D56" w:rsidRDefault="00623F1C" w:rsidP="00226D56">
            <w:pPr>
              <w:numPr>
                <w:ilvl w:val="0"/>
                <w:numId w:val="35"/>
              </w:numPr>
            </w:pPr>
            <w:r>
              <w:t>Recognises and values racial and cultural diversity of BANES communities</w:t>
            </w:r>
          </w:p>
        </w:tc>
        <w:tc>
          <w:tcPr>
            <w:tcW w:w="4127" w:type="dxa"/>
            <w:gridSpan w:val="2"/>
            <w:shd w:val="clear" w:color="auto" w:fill="auto"/>
          </w:tcPr>
          <w:p w:rsidR="002B3B5C" w:rsidRDefault="002B3B5C" w:rsidP="00940F78"/>
        </w:tc>
      </w:tr>
      <w:tr w:rsidR="008B760D">
        <w:trPr>
          <w:trHeight w:val="798"/>
        </w:trPr>
        <w:tc>
          <w:tcPr>
            <w:tcW w:w="648" w:type="dxa"/>
          </w:tcPr>
          <w:p w:rsidR="008B760D" w:rsidRPr="002B3B5C" w:rsidRDefault="008B760D">
            <w:pPr>
              <w:rPr>
                <w:b/>
                <w:sz w:val="24"/>
                <w:szCs w:val="24"/>
              </w:rPr>
            </w:pPr>
            <w:r w:rsidRPr="002B3B5C">
              <w:rPr>
                <w:b/>
                <w:sz w:val="24"/>
                <w:szCs w:val="24"/>
              </w:rPr>
              <w:t>3.</w:t>
            </w:r>
            <w:r>
              <w:rPr>
                <w:b/>
                <w:sz w:val="24"/>
                <w:szCs w:val="24"/>
              </w:rPr>
              <w:t>6</w:t>
            </w:r>
          </w:p>
        </w:tc>
        <w:tc>
          <w:tcPr>
            <w:tcW w:w="5272" w:type="dxa"/>
            <w:gridSpan w:val="2"/>
          </w:tcPr>
          <w:p w:rsidR="008B760D" w:rsidRDefault="008B760D">
            <w:pPr>
              <w:rPr>
                <w:sz w:val="24"/>
                <w:szCs w:val="24"/>
              </w:rPr>
            </w:pPr>
            <w:r w:rsidRPr="00F93043">
              <w:rPr>
                <w:b/>
                <w:sz w:val="24"/>
                <w:szCs w:val="24"/>
              </w:rPr>
              <w:t xml:space="preserve">Sexual orientation </w:t>
            </w:r>
            <w:r w:rsidR="00C40273">
              <w:rPr>
                <w:b/>
                <w:sz w:val="24"/>
                <w:szCs w:val="24"/>
              </w:rPr>
              <w:t>–</w:t>
            </w:r>
            <w:r w:rsidRPr="00F93043">
              <w:rPr>
                <w:b/>
                <w:sz w:val="24"/>
                <w:szCs w:val="24"/>
              </w:rPr>
              <w:t xml:space="preserve"> </w:t>
            </w:r>
            <w:r w:rsidRPr="00F93043">
              <w:rPr>
                <w:sz w:val="24"/>
                <w:szCs w:val="24"/>
              </w:rPr>
              <w:t xml:space="preserve">identify the impact/potential impact of the policy on </w:t>
            </w:r>
          </w:p>
          <w:p w:rsidR="008B760D" w:rsidRDefault="008B760D">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p w:rsidR="008B760D" w:rsidRPr="00F93043" w:rsidRDefault="008B760D">
            <w:pPr>
              <w:rPr>
                <w:b/>
                <w:sz w:val="24"/>
                <w:szCs w:val="24"/>
              </w:rPr>
            </w:pPr>
            <w:r w:rsidRPr="00F93043">
              <w:rPr>
                <w:b/>
                <w:sz w:val="24"/>
                <w:szCs w:val="24"/>
              </w:rPr>
              <w:t xml:space="preserve"> </w:t>
            </w:r>
          </w:p>
        </w:tc>
        <w:tc>
          <w:tcPr>
            <w:tcW w:w="4127" w:type="dxa"/>
            <w:gridSpan w:val="3"/>
            <w:shd w:val="clear" w:color="auto" w:fill="auto"/>
          </w:tcPr>
          <w:p w:rsidR="00C40273" w:rsidRDefault="00226D56" w:rsidP="00226D56">
            <w:pPr>
              <w:numPr>
                <w:ilvl w:val="0"/>
                <w:numId w:val="36"/>
              </w:numPr>
            </w:pPr>
            <w:r>
              <w:t>Promotes diversity and supports individual identity</w:t>
            </w:r>
          </w:p>
          <w:p w:rsidR="00226D56" w:rsidRDefault="00226D56" w:rsidP="00226D56">
            <w:pPr>
              <w:numPr>
                <w:ilvl w:val="0"/>
                <w:numId w:val="36"/>
              </w:numPr>
            </w:pPr>
            <w:r>
              <w:t>Positive promotion of fostering and adoption</w:t>
            </w:r>
          </w:p>
        </w:tc>
        <w:tc>
          <w:tcPr>
            <w:tcW w:w="4127" w:type="dxa"/>
            <w:gridSpan w:val="2"/>
            <w:shd w:val="clear" w:color="auto" w:fill="auto"/>
          </w:tcPr>
          <w:p w:rsidR="008B760D" w:rsidRDefault="008B760D" w:rsidP="002B3B5C"/>
        </w:tc>
      </w:tr>
      <w:tr w:rsidR="008B760D">
        <w:tc>
          <w:tcPr>
            <w:tcW w:w="648" w:type="dxa"/>
          </w:tcPr>
          <w:p w:rsidR="008B760D" w:rsidRPr="002B3B5C" w:rsidRDefault="008B760D">
            <w:pPr>
              <w:rPr>
                <w:b/>
                <w:sz w:val="24"/>
                <w:szCs w:val="24"/>
              </w:rPr>
            </w:pPr>
            <w:r w:rsidRPr="002B3B5C">
              <w:rPr>
                <w:b/>
                <w:sz w:val="24"/>
                <w:szCs w:val="24"/>
              </w:rPr>
              <w:t>3.</w:t>
            </w:r>
            <w:r>
              <w:rPr>
                <w:b/>
                <w:sz w:val="24"/>
                <w:szCs w:val="24"/>
              </w:rPr>
              <w:t>7</w:t>
            </w:r>
          </w:p>
        </w:tc>
        <w:tc>
          <w:tcPr>
            <w:tcW w:w="5272" w:type="dxa"/>
            <w:gridSpan w:val="2"/>
          </w:tcPr>
          <w:p w:rsidR="008B760D" w:rsidRDefault="008B760D">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p w:rsidR="008B760D" w:rsidRPr="00F93043" w:rsidRDefault="008B760D">
            <w:pPr>
              <w:rPr>
                <w:sz w:val="24"/>
                <w:szCs w:val="24"/>
              </w:rPr>
            </w:pPr>
          </w:p>
        </w:tc>
        <w:tc>
          <w:tcPr>
            <w:tcW w:w="4127" w:type="dxa"/>
            <w:gridSpan w:val="3"/>
            <w:shd w:val="clear" w:color="auto" w:fill="auto"/>
          </w:tcPr>
          <w:p w:rsidR="00C40273" w:rsidRDefault="00226D56" w:rsidP="00226D56">
            <w:pPr>
              <w:numPr>
                <w:ilvl w:val="0"/>
                <w:numId w:val="37"/>
              </w:numPr>
            </w:pPr>
            <w:r>
              <w:t>Promotes commitment to ensuring that religious beliefs inform assessments, plans and services</w:t>
            </w:r>
          </w:p>
        </w:tc>
        <w:tc>
          <w:tcPr>
            <w:tcW w:w="4127" w:type="dxa"/>
            <w:gridSpan w:val="2"/>
            <w:shd w:val="clear" w:color="auto" w:fill="auto"/>
          </w:tcPr>
          <w:p w:rsidR="008B760D" w:rsidRDefault="008B760D"/>
        </w:tc>
      </w:tr>
      <w:tr w:rsidR="008B760D">
        <w:tc>
          <w:tcPr>
            <w:tcW w:w="648" w:type="dxa"/>
          </w:tcPr>
          <w:p w:rsidR="008B760D" w:rsidRPr="002B3B5C" w:rsidRDefault="008B760D">
            <w:pPr>
              <w:rPr>
                <w:b/>
                <w:sz w:val="24"/>
                <w:szCs w:val="24"/>
              </w:rPr>
            </w:pPr>
            <w:r>
              <w:rPr>
                <w:b/>
                <w:sz w:val="24"/>
                <w:szCs w:val="24"/>
              </w:rPr>
              <w:t>3.8</w:t>
            </w:r>
          </w:p>
        </w:tc>
        <w:tc>
          <w:tcPr>
            <w:tcW w:w="5272" w:type="dxa"/>
            <w:gridSpan w:val="2"/>
          </w:tcPr>
          <w:p w:rsidR="008B760D" w:rsidRDefault="008B760D">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8B760D">
            <w:pPr>
              <w:rPr>
                <w:b/>
                <w:sz w:val="24"/>
                <w:szCs w:val="24"/>
              </w:rPr>
            </w:pPr>
          </w:p>
        </w:tc>
        <w:tc>
          <w:tcPr>
            <w:tcW w:w="4127" w:type="dxa"/>
            <w:gridSpan w:val="3"/>
            <w:shd w:val="clear" w:color="auto" w:fill="auto"/>
          </w:tcPr>
          <w:p w:rsidR="00C40273" w:rsidRDefault="00226D56" w:rsidP="00226D56">
            <w:pPr>
              <w:numPr>
                <w:ilvl w:val="0"/>
                <w:numId w:val="37"/>
              </w:numPr>
            </w:pPr>
            <w:r>
              <w:t>Recognises impact of current economic climate and welfare benefit changes upon families and makes provision for responding to increased demand for support services</w:t>
            </w:r>
          </w:p>
          <w:p w:rsidR="00226D56" w:rsidRDefault="00226D56" w:rsidP="00226D56">
            <w:pPr>
              <w:numPr>
                <w:ilvl w:val="0"/>
                <w:numId w:val="37"/>
              </w:numPr>
            </w:pPr>
            <w:r>
              <w:t>Operates within a continuum of services to support children and families</w:t>
            </w:r>
          </w:p>
          <w:p w:rsidR="00226D56" w:rsidRDefault="00226D56" w:rsidP="00226D56">
            <w:pPr>
              <w:numPr>
                <w:ilvl w:val="0"/>
                <w:numId w:val="37"/>
              </w:numPr>
            </w:pPr>
            <w:r>
              <w:t>Single point of entry for services</w:t>
            </w:r>
          </w:p>
        </w:tc>
        <w:tc>
          <w:tcPr>
            <w:tcW w:w="4127" w:type="dxa"/>
            <w:gridSpan w:val="2"/>
            <w:shd w:val="clear" w:color="auto" w:fill="auto"/>
          </w:tcPr>
          <w:p w:rsidR="008B760D" w:rsidRDefault="008B760D"/>
        </w:tc>
      </w:tr>
      <w:tr w:rsidR="008B760D">
        <w:tc>
          <w:tcPr>
            <w:tcW w:w="648" w:type="dxa"/>
          </w:tcPr>
          <w:p w:rsidR="008B760D" w:rsidRPr="002B3B5C" w:rsidRDefault="008B760D">
            <w:pPr>
              <w:rPr>
                <w:b/>
                <w:sz w:val="24"/>
                <w:szCs w:val="24"/>
              </w:rPr>
            </w:pPr>
            <w:r>
              <w:rPr>
                <w:b/>
                <w:sz w:val="24"/>
                <w:szCs w:val="24"/>
              </w:rPr>
              <w:t>3.9</w:t>
            </w:r>
          </w:p>
        </w:tc>
        <w:tc>
          <w:tcPr>
            <w:tcW w:w="5272" w:type="dxa"/>
            <w:gridSpan w:val="2"/>
          </w:tcPr>
          <w:p w:rsidR="008B760D" w:rsidRDefault="008B760D">
            <w:pPr>
              <w:rPr>
                <w:rFonts w:cs="Arial"/>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p w:rsidR="008B760D" w:rsidRPr="002B3B5C" w:rsidRDefault="008B760D">
            <w:pPr>
              <w:rPr>
                <w:b/>
                <w:sz w:val="24"/>
                <w:szCs w:val="24"/>
              </w:rPr>
            </w:pPr>
          </w:p>
        </w:tc>
        <w:tc>
          <w:tcPr>
            <w:tcW w:w="4127" w:type="dxa"/>
            <w:gridSpan w:val="3"/>
            <w:shd w:val="clear" w:color="auto" w:fill="auto"/>
          </w:tcPr>
          <w:p w:rsidR="00EF08F0" w:rsidRDefault="00EF08F0" w:rsidP="00226D56"/>
        </w:tc>
        <w:tc>
          <w:tcPr>
            <w:tcW w:w="4127" w:type="dxa"/>
            <w:gridSpan w:val="2"/>
            <w:shd w:val="clear" w:color="auto" w:fill="auto"/>
          </w:tcPr>
          <w:p w:rsidR="008B760D" w:rsidRDefault="00226D56" w:rsidP="00226D56">
            <w:pPr>
              <w:numPr>
                <w:ilvl w:val="0"/>
                <w:numId w:val="38"/>
              </w:numPr>
            </w:pPr>
            <w:r>
              <w:t>Single point of entry could result in access difficulties for some families.  Plans to make use of resources within such communities – e.g. Children’s Centres – for the provision of services</w:t>
            </w:r>
          </w:p>
        </w:tc>
      </w:tr>
    </w:tbl>
    <w:p w:rsidR="00FF1644" w:rsidRDefault="00FF1644"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6B2DF8" w:rsidRDefault="00226D56" w:rsidP="00226D56">
            <w:pPr>
              <w:numPr>
                <w:ilvl w:val="0"/>
                <w:numId w:val="39"/>
              </w:numPr>
            </w:pPr>
            <w:r>
              <w:t>Access to services for families living in rural communities</w:t>
            </w:r>
          </w:p>
        </w:tc>
        <w:tc>
          <w:tcPr>
            <w:tcW w:w="3544" w:type="dxa"/>
          </w:tcPr>
          <w:p w:rsidR="00267EEE" w:rsidRDefault="00FF1644" w:rsidP="00FF1644">
            <w:r>
              <w:t>Explore further options for meeting with families in Children’s Centres</w:t>
            </w:r>
          </w:p>
        </w:tc>
        <w:tc>
          <w:tcPr>
            <w:tcW w:w="3822" w:type="dxa"/>
          </w:tcPr>
          <w:p w:rsidR="00267EEE" w:rsidRDefault="00FF1644" w:rsidP="00FF1644">
            <w:r>
              <w:t>Facilities identified and being used</w:t>
            </w:r>
          </w:p>
        </w:tc>
        <w:tc>
          <w:tcPr>
            <w:tcW w:w="1564" w:type="dxa"/>
          </w:tcPr>
          <w:p w:rsidR="006B2DF8" w:rsidRDefault="00FF1644">
            <w:r>
              <w:t>Trina Shane</w:t>
            </w:r>
          </w:p>
          <w:p w:rsidR="00FF1644" w:rsidRDefault="00FF1644">
            <w:r>
              <w:t>Sara Willis</w:t>
            </w:r>
          </w:p>
          <w:p w:rsidR="00FF1644" w:rsidRDefault="00FF1644"/>
        </w:tc>
        <w:tc>
          <w:tcPr>
            <w:tcW w:w="1450" w:type="dxa"/>
          </w:tcPr>
          <w:p w:rsidR="00650251" w:rsidRDefault="00FF1644">
            <w:r>
              <w:t>01/12/12</w:t>
            </w:r>
          </w:p>
        </w:tc>
      </w:tr>
      <w:tr w:rsidR="006B2DF8">
        <w:tc>
          <w:tcPr>
            <w:tcW w:w="3794" w:type="dxa"/>
          </w:tcPr>
          <w:p w:rsidR="006B2DF8" w:rsidRDefault="00226D56" w:rsidP="00226D56">
            <w:pPr>
              <w:numPr>
                <w:ilvl w:val="0"/>
                <w:numId w:val="39"/>
              </w:numPr>
            </w:pPr>
            <w:r>
              <w:t>Range of foster carers to meet needs of BOME children in care</w:t>
            </w:r>
          </w:p>
        </w:tc>
        <w:tc>
          <w:tcPr>
            <w:tcW w:w="3544" w:type="dxa"/>
          </w:tcPr>
          <w:p w:rsidR="0028243B" w:rsidRDefault="00FF1644">
            <w:r>
              <w:t>Implement strategy for recruiting additional foster carers</w:t>
            </w:r>
          </w:p>
        </w:tc>
        <w:tc>
          <w:tcPr>
            <w:tcW w:w="3822" w:type="dxa"/>
          </w:tcPr>
          <w:p w:rsidR="00CE303E" w:rsidRDefault="00FF1644" w:rsidP="00FF1644">
            <w:r>
              <w:t>Increase in number of foster carers able to meet needs</w:t>
            </w:r>
          </w:p>
        </w:tc>
        <w:tc>
          <w:tcPr>
            <w:tcW w:w="1564" w:type="dxa"/>
          </w:tcPr>
          <w:p w:rsidR="00FF1644" w:rsidRDefault="00FF1644" w:rsidP="00FF1644">
            <w:r>
              <w:t>Charlie Moat</w:t>
            </w:r>
          </w:p>
          <w:p w:rsidR="006B2DF8" w:rsidRDefault="00FF1644" w:rsidP="00FF1644">
            <w:r>
              <w:t>Sara W</w:t>
            </w:r>
            <w:r w:rsidR="00504E15">
              <w:t>orth</w:t>
            </w:r>
          </w:p>
        </w:tc>
        <w:tc>
          <w:tcPr>
            <w:tcW w:w="1450" w:type="dxa"/>
          </w:tcPr>
          <w:p w:rsidR="006B2DF8" w:rsidRDefault="00FF1644">
            <w:r>
              <w:t>01/04/13</w:t>
            </w:r>
          </w:p>
        </w:tc>
      </w:tr>
      <w:tr w:rsidR="006B2DF8">
        <w:tc>
          <w:tcPr>
            <w:tcW w:w="3794" w:type="dxa"/>
          </w:tcPr>
          <w:p w:rsidR="006B2DF8" w:rsidRDefault="00504E15" w:rsidP="00226D56">
            <w:pPr>
              <w:numPr>
                <w:ilvl w:val="0"/>
                <w:numId w:val="39"/>
              </w:numPr>
            </w:pPr>
            <w:r>
              <w:t>Need</w:t>
            </w:r>
            <w:r w:rsidR="00226D56">
              <w:t xml:space="preserve"> for range of services to meet the needs of BOME children and young </w:t>
            </w:r>
            <w:r w:rsidR="00FF1644">
              <w:t>people at earlier stages</w:t>
            </w:r>
          </w:p>
        </w:tc>
        <w:tc>
          <w:tcPr>
            <w:tcW w:w="3544" w:type="dxa"/>
          </w:tcPr>
          <w:p w:rsidR="0028243B" w:rsidRDefault="00FF1644">
            <w:r>
              <w:t>Implementation of 0 – 11 and 11 – 19 strategies and delivery of continuum of services</w:t>
            </w:r>
          </w:p>
        </w:tc>
        <w:tc>
          <w:tcPr>
            <w:tcW w:w="3822" w:type="dxa"/>
          </w:tcPr>
          <w:p w:rsidR="00D34F21" w:rsidRDefault="00504E15">
            <w:r>
              <w:t>Fewer Children in N</w:t>
            </w:r>
            <w:r w:rsidR="00FF1644">
              <w:t>eed</w:t>
            </w:r>
          </w:p>
          <w:p w:rsidR="00FF1644" w:rsidRDefault="00FF1644">
            <w:r>
              <w:t>Fewer in Care/</w:t>
            </w:r>
            <w:proofErr w:type="spellStart"/>
            <w:r>
              <w:t>CPlans</w:t>
            </w:r>
            <w:proofErr w:type="spellEnd"/>
          </w:p>
        </w:tc>
        <w:tc>
          <w:tcPr>
            <w:tcW w:w="1564" w:type="dxa"/>
          </w:tcPr>
          <w:p w:rsidR="006B2DF8" w:rsidRDefault="00FF1644">
            <w:r>
              <w:t>Sara Willis</w:t>
            </w:r>
          </w:p>
          <w:p w:rsidR="00FF1644" w:rsidRDefault="00FF1644">
            <w:r>
              <w:t>Tony Parker</w:t>
            </w:r>
          </w:p>
        </w:tc>
        <w:tc>
          <w:tcPr>
            <w:tcW w:w="1450" w:type="dxa"/>
          </w:tcPr>
          <w:p w:rsidR="006B2DF8" w:rsidRDefault="00FF1644">
            <w:r>
              <w:t>01/04/13</w:t>
            </w:r>
          </w:p>
        </w:tc>
      </w:tr>
    </w:tbl>
    <w:p w:rsidR="002B3B5C" w:rsidRDefault="002B3B5C"/>
    <w:p w:rsidR="002B3B5C" w:rsidRDefault="002B3B5C"/>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8"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00CE303E">
        <w:rPr>
          <w:sz w:val="28"/>
          <w:szCs w:val="28"/>
        </w:rPr>
        <w:t>Maurice Lindsay</w:t>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rsidR="002B3B5C" w:rsidRPr="002B3B5C" w:rsidRDefault="002B3B5C" w:rsidP="00543922">
      <w:pPr>
        <w:rPr>
          <w:b/>
          <w:sz w:val="28"/>
          <w:szCs w:val="28"/>
        </w:rPr>
      </w:pPr>
      <w:r w:rsidRPr="002B3B5C">
        <w:rPr>
          <w:b/>
          <w:sz w:val="28"/>
          <w:szCs w:val="28"/>
        </w:rPr>
        <w:t>Date:</w:t>
      </w:r>
      <w:r w:rsidR="00FF1644">
        <w:rPr>
          <w:b/>
          <w:sz w:val="28"/>
          <w:szCs w:val="28"/>
        </w:rPr>
        <w:tab/>
      </w:r>
      <w:r w:rsidR="00FF1644">
        <w:rPr>
          <w:b/>
          <w:sz w:val="28"/>
          <w:szCs w:val="28"/>
        </w:rPr>
        <w:tab/>
      </w:r>
      <w:r w:rsidR="00FF1644">
        <w:rPr>
          <w:b/>
          <w:sz w:val="28"/>
          <w:szCs w:val="28"/>
        </w:rPr>
        <w:tab/>
      </w:r>
      <w:r w:rsidR="00FF1644">
        <w:rPr>
          <w:b/>
          <w:sz w:val="28"/>
          <w:szCs w:val="28"/>
        </w:rPr>
        <w:tab/>
      </w:r>
      <w:r w:rsidR="00FF1644" w:rsidRPr="00FF1644">
        <w:rPr>
          <w:sz w:val="28"/>
          <w:szCs w:val="28"/>
        </w:rPr>
        <w:t>21</w:t>
      </w:r>
      <w:r w:rsidR="00FF1644" w:rsidRPr="00FF1644">
        <w:rPr>
          <w:sz w:val="28"/>
          <w:szCs w:val="28"/>
          <w:vertAlign w:val="superscript"/>
        </w:rPr>
        <w:t>st</w:t>
      </w:r>
      <w:r w:rsidR="00FF1644" w:rsidRPr="00FF1644">
        <w:rPr>
          <w:sz w:val="28"/>
          <w:szCs w:val="28"/>
        </w:rPr>
        <w:t xml:space="preserve"> September 2012</w:t>
      </w:r>
    </w:p>
    <w:sectPr w:rsidR="002B3B5C" w:rsidRPr="002B3B5C" w:rsidSect="002B3B5C">
      <w:footerReference w:type="default" r:id="rId9"/>
      <w:headerReference w:type="first" r:id="rId10"/>
      <w:footerReference w:type="first" r:id="rId11"/>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4E" w:rsidRDefault="0037294E">
      <w:r>
        <w:separator/>
      </w:r>
    </w:p>
    <w:p w:rsidR="0037294E" w:rsidRDefault="0037294E"/>
    <w:p w:rsidR="0037294E" w:rsidRDefault="0037294E"/>
  </w:endnote>
  <w:endnote w:type="continuationSeparator" w:id="0">
    <w:p w:rsidR="0037294E" w:rsidRDefault="0037294E">
      <w:r>
        <w:continuationSeparator/>
      </w:r>
    </w:p>
    <w:p w:rsidR="0037294E" w:rsidRDefault="0037294E"/>
    <w:p w:rsidR="0037294E" w:rsidRDefault="0037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78" w:rsidRDefault="00940F7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C716C">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C716C">
      <w:rPr>
        <w:noProof/>
        <w:snapToGrid w:val="0"/>
      </w:rPr>
      <w:t>7</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78" w:rsidRDefault="00FC716C">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4E" w:rsidRDefault="0037294E">
      <w:r>
        <w:separator/>
      </w:r>
    </w:p>
    <w:p w:rsidR="0037294E" w:rsidRDefault="0037294E"/>
    <w:p w:rsidR="0037294E" w:rsidRDefault="0037294E"/>
  </w:footnote>
  <w:footnote w:type="continuationSeparator" w:id="0">
    <w:p w:rsidR="0037294E" w:rsidRDefault="0037294E">
      <w:r>
        <w:continuationSeparator/>
      </w:r>
    </w:p>
    <w:p w:rsidR="0037294E" w:rsidRDefault="0037294E"/>
    <w:p w:rsidR="0037294E" w:rsidRDefault="003729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78" w:rsidRPr="002E7EF8" w:rsidRDefault="00940F78">
    <w:pPr>
      <w:pStyle w:val="Header"/>
      <w:rPr>
        <w:sz w:val="56"/>
        <w:szCs w:val="56"/>
      </w:rPr>
    </w:pPr>
    <w:r>
      <w:rPr>
        <w:sz w:val="56"/>
        <w:szCs w:val="56"/>
      </w:rPr>
      <w:t xml:space="preserve"> </w:t>
    </w:r>
    <w:r w:rsidR="00FC71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0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0B7"/>
    <w:multiLevelType w:val="hybridMultilevel"/>
    <w:tmpl w:val="DF869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F421A"/>
    <w:multiLevelType w:val="hybridMultilevel"/>
    <w:tmpl w:val="3E860344"/>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01436B"/>
    <w:multiLevelType w:val="hybridMultilevel"/>
    <w:tmpl w:val="468E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F7797A"/>
    <w:multiLevelType w:val="hybridMultilevel"/>
    <w:tmpl w:val="1370EECC"/>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7">
    <w:nsid w:val="16C10C6A"/>
    <w:multiLevelType w:val="hybridMultilevel"/>
    <w:tmpl w:val="C3BC9C7C"/>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5B592F"/>
    <w:multiLevelType w:val="hybridMultilevel"/>
    <w:tmpl w:val="748462A8"/>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34724C"/>
    <w:multiLevelType w:val="hybridMultilevel"/>
    <w:tmpl w:val="4A4218A0"/>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7A71DE"/>
    <w:multiLevelType w:val="hybridMultilevel"/>
    <w:tmpl w:val="20526BF6"/>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EE2965"/>
    <w:multiLevelType w:val="hybridMultilevel"/>
    <w:tmpl w:val="4EEC3018"/>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92D97"/>
    <w:multiLevelType w:val="hybridMultilevel"/>
    <w:tmpl w:val="892A7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422FA0"/>
    <w:multiLevelType w:val="hybridMultilevel"/>
    <w:tmpl w:val="C568D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D13932"/>
    <w:multiLevelType w:val="hybridMultilevel"/>
    <w:tmpl w:val="DD5E0EE8"/>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04449B"/>
    <w:multiLevelType w:val="hybridMultilevel"/>
    <w:tmpl w:val="7D4C49FA"/>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446A15"/>
    <w:multiLevelType w:val="hybridMultilevel"/>
    <w:tmpl w:val="F0D0E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994F1D"/>
    <w:multiLevelType w:val="hybridMultilevel"/>
    <w:tmpl w:val="920C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6441097"/>
    <w:multiLevelType w:val="hybridMultilevel"/>
    <w:tmpl w:val="3CB0A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E14550D"/>
    <w:multiLevelType w:val="hybridMultilevel"/>
    <w:tmpl w:val="504C077A"/>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1C4BDD"/>
    <w:multiLevelType w:val="hybridMultilevel"/>
    <w:tmpl w:val="0F00DEB2"/>
    <w:lvl w:ilvl="0" w:tplc="9ABC830E">
      <w:start w:val="1"/>
      <w:numFmt w:val="bullet"/>
      <w:lvlText w:val=""/>
      <w:lvlJc w:val="left"/>
      <w:pPr>
        <w:tabs>
          <w:tab w:val="num" w:pos="567"/>
        </w:tabs>
        <w:ind w:left="567" w:hanging="56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16"/>
  </w:num>
  <w:num w:numId="4">
    <w:abstractNumId w:val="32"/>
  </w:num>
  <w:num w:numId="5">
    <w:abstractNumId w:val="36"/>
  </w:num>
  <w:num w:numId="6">
    <w:abstractNumId w:val="30"/>
  </w:num>
  <w:num w:numId="7">
    <w:abstractNumId w:val="35"/>
  </w:num>
  <w:num w:numId="8">
    <w:abstractNumId w:val="24"/>
  </w:num>
  <w:num w:numId="9">
    <w:abstractNumId w:val="8"/>
  </w:num>
  <w:num w:numId="10">
    <w:abstractNumId w:val="25"/>
  </w:num>
  <w:num w:numId="11">
    <w:abstractNumId w:val="10"/>
  </w:num>
  <w:num w:numId="12">
    <w:abstractNumId w:val="6"/>
  </w:num>
  <w:num w:numId="13">
    <w:abstractNumId w:val="22"/>
  </w:num>
  <w:num w:numId="14">
    <w:abstractNumId w:val="26"/>
  </w:num>
  <w:num w:numId="15">
    <w:abstractNumId w:val="12"/>
  </w:num>
  <w:num w:numId="16">
    <w:abstractNumId w:val="37"/>
  </w:num>
  <w:num w:numId="17">
    <w:abstractNumId w:val="17"/>
  </w:num>
  <w:num w:numId="18">
    <w:abstractNumId w:val="2"/>
  </w:num>
  <w:num w:numId="19">
    <w:abstractNumId w:val="3"/>
  </w:num>
  <w:num w:numId="20">
    <w:abstractNumId w:val="9"/>
  </w:num>
  <w:num w:numId="21">
    <w:abstractNumId w:val="13"/>
  </w:num>
  <w:num w:numId="22">
    <w:abstractNumId w:val="28"/>
  </w:num>
  <w:num w:numId="23">
    <w:abstractNumId w:val="23"/>
  </w:num>
  <w:num w:numId="24">
    <w:abstractNumId w:val="14"/>
  </w:num>
  <w:num w:numId="25">
    <w:abstractNumId w:val="7"/>
  </w:num>
  <w:num w:numId="26">
    <w:abstractNumId w:val="34"/>
  </w:num>
  <w:num w:numId="27">
    <w:abstractNumId w:val="15"/>
  </w:num>
  <w:num w:numId="28">
    <w:abstractNumId w:val="11"/>
  </w:num>
  <w:num w:numId="29">
    <w:abstractNumId w:val="5"/>
  </w:num>
  <w:num w:numId="30">
    <w:abstractNumId w:val="38"/>
  </w:num>
  <w:num w:numId="31">
    <w:abstractNumId w:val="18"/>
  </w:num>
  <w:num w:numId="32">
    <w:abstractNumId w:val="1"/>
  </w:num>
  <w:num w:numId="33">
    <w:abstractNumId w:val="31"/>
  </w:num>
  <w:num w:numId="34">
    <w:abstractNumId w:val="0"/>
  </w:num>
  <w:num w:numId="35">
    <w:abstractNumId w:val="21"/>
  </w:num>
  <w:num w:numId="36">
    <w:abstractNumId w:val="29"/>
  </w:num>
  <w:num w:numId="37">
    <w:abstractNumId w:val="4"/>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6500"/>
    <w:rsid w:val="000231C6"/>
    <w:rsid w:val="00037611"/>
    <w:rsid w:val="000722BB"/>
    <w:rsid w:val="0009484C"/>
    <w:rsid w:val="000A184F"/>
    <w:rsid w:val="000A35B3"/>
    <w:rsid w:val="000E51CA"/>
    <w:rsid w:val="0010752D"/>
    <w:rsid w:val="00136479"/>
    <w:rsid w:val="00163C4F"/>
    <w:rsid w:val="001734E3"/>
    <w:rsid w:val="001D0073"/>
    <w:rsid w:val="002151D7"/>
    <w:rsid w:val="00223636"/>
    <w:rsid w:val="00226D56"/>
    <w:rsid w:val="00230F50"/>
    <w:rsid w:val="0023292D"/>
    <w:rsid w:val="0023474C"/>
    <w:rsid w:val="00256E5A"/>
    <w:rsid w:val="00267EEE"/>
    <w:rsid w:val="00272C3A"/>
    <w:rsid w:val="0028243B"/>
    <w:rsid w:val="002A17F4"/>
    <w:rsid w:val="002B3B5C"/>
    <w:rsid w:val="002B53E5"/>
    <w:rsid w:val="002C0763"/>
    <w:rsid w:val="002C1B75"/>
    <w:rsid w:val="002D33D2"/>
    <w:rsid w:val="002E7EF8"/>
    <w:rsid w:val="00307CB7"/>
    <w:rsid w:val="00362518"/>
    <w:rsid w:val="00364F87"/>
    <w:rsid w:val="0037294E"/>
    <w:rsid w:val="00381E3F"/>
    <w:rsid w:val="0039039C"/>
    <w:rsid w:val="00391EBA"/>
    <w:rsid w:val="003A0A1D"/>
    <w:rsid w:val="003D031B"/>
    <w:rsid w:val="003D5896"/>
    <w:rsid w:val="004001AB"/>
    <w:rsid w:val="0041018B"/>
    <w:rsid w:val="00431237"/>
    <w:rsid w:val="00446395"/>
    <w:rsid w:val="004860A1"/>
    <w:rsid w:val="004C318C"/>
    <w:rsid w:val="004E418F"/>
    <w:rsid w:val="004F3B4E"/>
    <w:rsid w:val="004F5AC9"/>
    <w:rsid w:val="00500300"/>
    <w:rsid w:val="00504E15"/>
    <w:rsid w:val="00532357"/>
    <w:rsid w:val="005365D0"/>
    <w:rsid w:val="00543922"/>
    <w:rsid w:val="00565025"/>
    <w:rsid w:val="00573640"/>
    <w:rsid w:val="005A4AA2"/>
    <w:rsid w:val="005D7C5F"/>
    <w:rsid w:val="005E0695"/>
    <w:rsid w:val="005F46E5"/>
    <w:rsid w:val="00603419"/>
    <w:rsid w:val="00623F1C"/>
    <w:rsid w:val="00647737"/>
    <w:rsid w:val="00650251"/>
    <w:rsid w:val="006651F7"/>
    <w:rsid w:val="00696358"/>
    <w:rsid w:val="006B2DF8"/>
    <w:rsid w:val="006D0E8C"/>
    <w:rsid w:val="006F0296"/>
    <w:rsid w:val="00713445"/>
    <w:rsid w:val="0072163A"/>
    <w:rsid w:val="00724863"/>
    <w:rsid w:val="007370BE"/>
    <w:rsid w:val="00744837"/>
    <w:rsid w:val="00751542"/>
    <w:rsid w:val="007876C8"/>
    <w:rsid w:val="00793BC0"/>
    <w:rsid w:val="007C694D"/>
    <w:rsid w:val="007D076A"/>
    <w:rsid w:val="007E2562"/>
    <w:rsid w:val="007F0B6B"/>
    <w:rsid w:val="00806BB1"/>
    <w:rsid w:val="008075D3"/>
    <w:rsid w:val="0082170A"/>
    <w:rsid w:val="00842686"/>
    <w:rsid w:val="00844682"/>
    <w:rsid w:val="00847B34"/>
    <w:rsid w:val="00897896"/>
    <w:rsid w:val="008B760D"/>
    <w:rsid w:val="008D184F"/>
    <w:rsid w:val="009171DA"/>
    <w:rsid w:val="00922FEE"/>
    <w:rsid w:val="00940F78"/>
    <w:rsid w:val="00943384"/>
    <w:rsid w:val="00946D77"/>
    <w:rsid w:val="0096291D"/>
    <w:rsid w:val="009B5A08"/>
    <w:rsid w:val="009C4D42"/>
    <w:rsid w:val="00A04655"/>
    <w:rsid w:val="00A125C2"/>
    <w:rsid w:val="00A26DC2"/>
    <w:rsid w:val="00A8281E"/>
    <w:rsid w:val="00A96A7A"/>
    <w:rsid w:val="00AA1B1B"/>
    <w:rsid w:val="00AF1F77"/>
    <w:rsid w:val="00B37C3B"/>
    <w:rsid w:val="00B51359"/>
    <w:rsid w:val="00B8565F"/>
    <w:rsid w:val="00B86FBE"/>
    <w:rsid w:val="00B94585"/>
    <w:rsid w:val="00BC0B1B"/>
    <w:rsid w:val="00BC3E3F"/>
    <w:rsid w:val="00BD1C09"/>
    <w:rsid w:val="00BE5BF5"/>
    <w:rsid w:val="00C044AC"/>
    <w:rsid w:val="00C045BC"/>
    <w:rsid w:val="00C14271"/>
    <w:rsid w:val="00C163FE"/>
    <w:rsid w:val="00C40273"/>
    <w:rsid w:val="00C42998"/>
    <w:rsid w:val="00C523B9"/>
    <w:rsid w:val="00C56843"/>
    <w:rsid w:val="00C64D7C"/>
    <w:rsid w:val="00C70B44"/>
    <w:rsid w:val="00CB3CD8"/>
    <w:rsid w:val="00CB514F"/>
    <w:rsid w:val="00CE303E"/>
    <w:rsid w:val="00CF282A"/>
    <w:rsid w:val="00D34F21"/>
    <w:rsid w:val="00D36EE9"/>
    <w:rsid w:val="00D46881"/>
    <w:rsid w:val="00DE4A55"/>
    <w:rsid w:val="00E41F95"/>
    <w:rsid w:val="00E4699F"/>
    <w:rsid w:val="00E54AC2"/>
    <w:rsid w:val="00E62C69"/>
    <w:rsid w:val="00E65651"/>
    <w:rsid w:val="00E66E8B"/>
    <w:rsid w:val="00E67B1F"/>
    <w:rsid w:val="00ED5CED"/>
    <w:rsid w:val="00EE1489"/>
    <w:rsid w:val="00EE20BF"/>
    <w:rsid w:val="00EE50F5"/>
    <w:rsid w:val="00EF08F0"/>
    <w:rsid w:val="00EF61CE"/>
    <w:rsid w:val="00F0418D"/>
    <w:rsid w:val="00F0685B"/>
    <w:rsid w:val="00F10380"/>
    <w:rsid w:val="00F43499"/>
    <w:rsid w:val="00F60057"/>
    <w:rsid w:val="00F67000"/>
    <w:rsid w:val="00F93043"/>
    <w:rsid w:val="00FB1656"/>
    <w:rsid w:val="00FB3089"/>
    <w:rsid w:val="00FB5E93"/>
    <w:rsid w:val="00FC4A1E"/>
    <w:rsid w:val="00FC716C"/>
    <w:rsid w:val="00FE5AB2"/>
    <w:rsid w:val="00FF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basedOn w:val="DefaultParagraphFont"/>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ality@bathn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691089EB.dotm</Template>
  <TotalTime>1</TotalTime>
  <Pages>7</Pages>
  <Words>1718</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11495</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cp:lastModifiedBy>Louise Murphy</cp:lastModifiedBy>
  <cp:revision>2</cp:revision>
  <cp:lastPrinted>2012-09-21T14:39:00Z</cp:lastPrinted>
  <dcterms:created xsi:type="dcterms:W3CDTF">2012-11-12T14:46:00Z</dcterms:created>
  <dcterms:modified xsi:type="dcterms:W3CDTF">2012-11-12T14:46:00Z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