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bookmarkStart w:id="0" w:name="_GoBack"/>
      <w:bookmarkEnd w:id="0"/>
    </w:p>
    <w:p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Title of</w:t>
            </w:r>
            <w:r>
              <w:rPr>
                <w:b/>
                <w:bCs/>
                <w:sz w:val="24"/>
                <w:szCs w:val="24"/>
              </w:rPr>
              <w:t xml:space="preserve"> service or policy </w:t>
            </w:r>
          </w:p>
          <w:p w:rsidR="002B3B5C" w:rsidRPr="00603419" w:rsidRDefault="002B3B5C" w:rsidP="002B3B5C">
            <w:pPr>
              <w:rPr>
                <w:b/>
                <w:bCs/>
                <w:sz w:val="24"/>
                <w:szCs w:val="24"/>
              </w:rPr>
            </w:pPr>
          </w:p>
        </w:tc>
        <w:tc>
          <w:tcPr>
            <w:tcW w:w="7058" w:type="dxa"/>
          </w:tcPr>
          <w:p w:rsidR="002B3B5C" w:rsidRDefault="00AB1875" w:rsidP="002B3B5C">
            <w:pPr>
              <w:spacing w:before="120"/>
              <w:rPr>
                <w:sz w:val="24"/>
                <w:szCs w:val="24"/>
              </w:rPr>
            </w:pPr>
            <w:r>
              <w:rPr>
                <w:sz w:val="24"/>
                <w:szCs w:val="24"/>
              </w:rPr>
              <w:t>Proposed enforcement action in relation to Stall 36 Guildhall Market</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Default="00D646CD" w:rsidP="002B3B5C">
            <w:pPr>
              <w:spacing w:before="240"/>
              <w:rPr>
                <w:sz w:val="24"/>
                <w:szCs w:val="24"/>
              </w:rPr>
            </w:pPr>
            <w:r>
              <w:rPr>
                <w:sz w:val="24"/>
                <w:szCs w:val="24"/>
              </w:rPr>
              <w:t>Place – Development Management</w:t>
            </w:r>
          </w:p>
        </w:tc>
      </w:tr>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B3B5C" w:rsidRDefault="00D646CD" w:rsidP="002B3B5C">
            <w:pPr>
              <w:spacing w:before="240"/>
              <w:rPr>
                <w:sz w:val="24"/>
                <w:szCs w:val="24"/>
              </w:rPr>
            </w:pPr>
            <w:r>
              <w:rPr>
                <w:sz w:val="24"/>
                <w:szCs w:val="24"/>
              </w:rPr>
              <w:t>Paula Freeland, Team manager – Planning and Conservation</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2B3B5C" w:rsidRDefault="00D646CD" w:rsidP="002B3B5C">
            <w:pPr>
              <w:rPr>
                <w:sz w:val="24"/>
                <w:szCs w:val="24"/>
              </w:rPr>
            </w:pPr>
            <w:r>
              <w:rPr>
                <w:sz w:val="24"/>
                <w:szCs w:val="24"/>
              </w:rPr>
              <w:t>September 2014</w:t>
            </w:r>
          </w:p>
        </w:tc>
      </w:tr>
    </w:tbl>
    <w:p w:rsidR="002B3B5C" w:rsidRPr="002B3B5C" w:rsidRDefault="002B3B5C" w:rsidP="002E7EF8">
      <w:pPr>
        <w:pStyle w:val="Header"/>
        <w:rPr>
          <w:b/>
          <w:sz w:val="72"/>
          <w:szCs w:val="72"/>
        </w:rPr>
      </w:pPr>
    </w:p>
    <w:p w:rsidR="002E7EF8" w:rsidRDefault="002E7EF8">
      <w:pPr>
        <w:rPr>
          <w:sz w:val="24"/>
          <w:szCs w:val="24"/>
        </w:rPr>
      </w:pPr>
    </w:p>
    <w:p w:rsidR="00C163FE" w:rsidRDefault="00C163FE">
      <w:pPr>
        <w:rPr>
          <w:sz w:val="24"/>
          <w:szCs w:val="24"/>
        </w:rPr>
      </w:pPr>
    </w:p>
    <w:p w:rsidR="00C163FE" w:rsidRDefault="00C163FE">
      <w:pPr>
        <w:rPr>
          <w:sz w:val="24"/>
          <w:szCs w:val="24"/>
        </w:rPr>
      </w:pPr>
    </w:p>
    <w:p w:rsidR="002E7EF8" w:rsidRDefault="002E7EF8">
      <w:pPr>
        <w:rPr>
          <w:sz w:val="24"/>
          <w:szCs w:val="24"/>
        </w:rPr>
      </w:pPr>
    </w:p>
    <w:p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lastRenderedPageBreak/>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is a process of systematically analysing a new or existing policy or service to identify what impact or likely impact it will have on different groups within the community.  The primary concern is to identify any discriminatory or negative consequences for a particular group or sector of the community.  Equality impact Assessments (EIAs) can be carried out in relation to service delivery as well as employment policies and strategies.</w:t>
      </w:r>
    </w:p>
    <w:p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with a final version including the action plan section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7"/>
        <w:gridCol w:w="1807"/>
        <w:gridCol w:w="1985"/>
        <w:gridCol w:w="5558"/>
        <w:gridCol w:w="4081"/>
        <w:gridCol w:w="32"/>
      </w:tblGrid>
      <w:tr w:rsidR="00744837" w:rsidTr="008D13A5">
        <w:trPr>
          <w:gridAfter w:val="1"/>
          <w:wAfter w:w="32" w:type="dxa"/>
        </w:trPr>
        <w:tc>
          <w:tcPr>
            <w:tcW w:w="711" w:type="dxa"/>
            <w:gridSpan w:val="2"/>
            <w:shd w:val="clear" w:color="auto" w:fill="D9D9D9"/>
            <w:vAlign w:val="center"/>
          </w:tcPr>
          <w:p w:rsidR="00744837" w:rsidRDefault="00744837" w:rsidP="00744837">
            <w:r w:rsidRPr="00744837">
              <w:rPr>
                <w:b/>
                <w:sz w:val="24"/>
                <w:szCs w:val="24"/>
              </w:rPr>
              <w:t>1.</w:t>
            </w:r>
            <w:r>
              <w:t xml:space="preserve"> </w:t>
            </w:r>
          </w:p>
        </w:tc>
        <w:tc>
          <w:tcPr>
            <w:tcW w:w="13431" w:type="dxa"/>
            <w:gridSpan w:val="4"/>
            <w:shd w:val="clear" w:color="auto" w:fill="D9D9D9"/>
            <w:vAlign w:val="center"/>
          </w:tcPr>
          <w:p w:rsidR="002B3B5C" w:rsidRDefault="002B3B5C" w:rsidP="00744837">
            <w:pPr>
              <w:rPr>
                <w:b/>
                <w:sz w:val="28"/>
                <w:szCs w:val="28"/>
              </w:rPr>
            </w:pPr>
          </w:p>
          <w:p w:rsidR="00744837" w:rsidRDefault="00F56F54" w:rsidP="00744837">
            <w:pPr>
              <w:rPr>
                <w:b/>
                <w:sz w:val="28"/>
                <w:szCs w:val="28"/>
              </w:rPr>
            </w:pPr>
            <w:r>
              <w:rPr>
                <w:b/>
                <w:sz w:val="28"/>
                <w:szCs w:val="28"/>
              </w:rPr>
              <w:t>Explain the purpose of the action and background</w:t>
            </w:r>
            <w:r w:rsidR="00744837">
              <w:rPr>
                <w:b/>
                <w:sz w:val="28"/>
                <w:szCs w:val="28"/>
              </w:rPr>
              <w:t>.</w:t>
            </w:r>
          </w:p>
          <w:p w:rsidR="00744837" w:rsidRDefault="00744837" w:rsidP="00744837">
            <w:pPr>
              <w:rPr>
                <w:b/>
                <w:sz w:val="24"/>
                <w:szCs w:val="24"/>
              </w:rPr>
            </w:pPr>
          </w:p>
        </w:tc>
      </w:tr>
      <w:tr w:rsidR="002B3B5C" w:rsidTr="00030142">
        <w:trPr>
          <w:gridAfter w:val="1"/>
          <w:wAfter w:w="32" w:type="dxa"/>
          <w:trHeight w:val="407"/>
        </w:trPr>
        <w:tc>
          <w:tcPr>
            <w:tcW w:w="711" w:type="dxa"/>
            <w:gridSpan w:val="2"/>
          </w:tcPr>
          <w:p w:rsidR="002B3B5C" w:rsidRDefault="002B3B5C"/>
        </w:tc>
        <w:tc>
          <w:tcPr>
            <w:tcW w:w="1807" w:type="dxa"/>
          </w:tcPr>
          <w:p w:rsidR="002B3B5C" w:rsidRDefault="002B3B5C" w:rsidP="002B3B5C">
            <w:pPr>
              <w:rPr>
                <w:b/>
                <w:sz w:val="24"/>
                <w:szCs w:val="24"/>
              </w:rPr>
            </w:pPr>
            <w:r>
              <w:rPr>
                <w:b/>
                <w:sz w:val="24"/>
                <w:szCs w:val="24"/>
              </w:rPr>
              <w:t>Key questions</w:t>
            </w:r>
          </w:p>
        </w:tc>
        <w:tc>
          <w:tcPr>
            <w:tcW w:w="11624" w:type="dxa"/>
            <w:gridSpan w:val="3"/>
            <w:vAlign w:val="center"/>
          </w:tcPr>
          <w:p w:rsidR="002B3B5C" w:rsidRDefault="002B3B5C">
            <w:pPr>
              <w:rPr>
                <w:b/>
                <w:sz w:val="24"/>
                <w:szCs w:val="24"/>
              </w:rPr>
            </w:pPr>
            <w:r>
              <w:rPr>
                <w:b/>
                <w:sz w:val="24"/>
                <w:szCs w:val="24"/>
              </w:rPr>
              <w:t>Answers / Notes</w:t>
            </w:r>
          </w:p>
        </w:tc>
      </w:tr>
      <w:tr w:rsidR="002B3B5C" w:rsidTr="00030142">
        <w:trPr>
          <w:gridAfter w:val="1"/>
          <w:wAfter w:w="32" w:type="dxa"/>
        </w:trPr>
        <w:tc>
          <w:tcPr>
            <w:tcW w:w="711" w:type="dxa"/>
            <w:gridSpan w:val="2"/>
          </w:tcPr>
          <w:p w:rsidR="002B3B5C" w:rsidRPr="002B3B5C" w:rsidRDefault="002B3B5C" w:rsidP="002B3B5C">
            <w:pPr>
              <w:rPr>
                <w:b/>
                <w:sz w:val="24"/>
                <w:szCs w:val="24"/>
              </w:rPr>
            </w:pPr>
            <w:r w:rsidRPr="002B3B5C">
              <w:rPr>
                <w:b/>
                <w:sz w:val="24"/>
                <w:szCs w:val="24"/>
              </w:rPr>
              <w:t>1.1</w:t>
            </w:r>
          </w:p>
        </w:tc>
        <w:tc>
          <w:tcPr>
            <w:tcW w:w="1807" w:type="dxa"/>
          </w:tcPr>
          <w:p w:rsidR="00F56F54" w:rsidRPr="00F93043" w:rsidRDefault="002B3B5C" w:rsidP="00F56F54">
            <w:pPr>
              <w:rPr>
                <w:sz w:val="24"/>
                <w:szCs w:val="24"/>
              </w:rPr>
            </w:pPr>
            <w:r>
              <w:rPr>
                <w:sz w:val="24"/>
                <w:szCs w:val="24"/>
              </w:rPr>
              <w:t xml:space="preserve">Briefly describe purpose of the </w:t>
            </w:r>
            <w:r w:rsidR="00030142">
              <w:rPr>
                <w:sz w:val="24"/>
                <w:szCs w:val="24"/>
              </w:rPr>
              <w:t>action</w:t>
            </w:r>
          </w:p>
          <w:p w:rsidR="002B3B5C" w:rsidRPr="00F93043" w:rsidRDefault="002B3B5C" w:rsidP="00F56F54">
            <w:pPr>
              <w:rPr>
                <w:sz w:val="24"/>
                <w:szCs w:val="24"/>
              </w:rPr>
            </w:pPr>
          </w:p>
        </w:tc>
        <w:tc>
          <w:tcPr>
            <w:tcW w:w="11624" w:type="dxa"/>
            <w:gridSpan w:val="3"/>
          </w:tcPr>
          <w:p w:rsidR="002B3B5C" w:rsidRPr="0093749D" w:rsidRDefault="003D5AE9" w:rsidP="002B3B5C">
            <w:pPr>
              <w:rPr>
                <w:color w:val="000000"/>
                <w:sz w:val="24"/>
                <w:szCs w:val="24"/>
              </w:rPr>
            </w:pPr>
            <w:r w:rsidRPr="0093749D">
              <w:rPr>
                <w:sz w:val="24"/>
                <w:szCs w:val="24"/>
              </w:rPr>
              <w:t>Section 7 of the Planning (Listed Buildings and Conservation Areas) Act 1990 (as amended) states, so far as relevant, that “</w:t>
            </w:r>
            <w:r w:rsidRPr="0093749D">
              <w:rPr>
                <w:color w:val="000000"/>
                <w:sz w:val="24"/>
                <w:szCs w:val="24"/>
              </w:rPr>
              <w:t>no person shall execute or cause to be executed any works for the demolition of a listed building or for its alteration or extension in any manner which would affect its character as a building of special architectural or historic interest, unless the works are authorised under section 8.”</w:t>
            </w:r>
          </w:p>
          <w:p w:rsidR="003D5AE9" w:rsidRPr="0093749D" w:rsidRDefault="003D5AE9" w:rsidP="002B3B5C">
            <w:pPr>
              <w:rPr>
                <w:color w:val="000000"/>
                <w:sz w:val="24"/>
                <w:szCs w:val="24"/>
              </w:rPr>
            </w:pPr>
          </w:p>
          <w:p w:rsidR="00385922" w:rsidRPr="0093749D" w:rsidRDefault="003D5AE9" w:rsidP="002B3B5C">
            <w:pPr>
              <w:rPr>
                <w:color w:val="000000"/>
                <w:sz w:val="24"/>
                <w:szCs w:val="24"/>
              </w:rPr>
            </w:pPr>
            <w:r w:rsidRPr="0093749D">
              <w:rPr>
                <w:color w:val="000000"/>
                <w:sz w:val="24"/>
                <w:szCs w:val="24"/>
              </w:rPr>
              <w:t>Works which affect the character of the building have been carri</w:t>
            </w:r>
            <w:r w:rsidR="00385922" w:rsidRPr="0093749D">
              <w:rPr>
                <w:color w:val="000000"/>
                <w:sz w:val="24"/>
                <w:szCs w:val="24"/>
              </w:rPr>
              <w:t xml:space="preserve">ed out without </w:t>
            </w:r>
            <w:r w:rsidR="00540581" w:rsidRPr="0093749D">
              <w:rPr>
                <w:color w:val="000000"/>
                <w:sz w:val="24"/>
                <w:szCs w:val="24"/>
              </w:rPr>
              <w:t xml:space="preserve">listed building </w:t>
            </w:r>
            <w:r w:rsidR="00385922" w:rsidRPr="0093749D">
              <w:rPr>
                <w:color w:val="000000"/>
                <w:sz w:val="24"/>
                <w:szCs w:val="24"/>
              </w:rPr>
              <w:t>consent.</w:t>
            </w:r>
          </w:p>
          <w:p w:rsidR="00385922" w:rsidRPr="0093749D" w:rsidRDefault="00385922" w:rsidP="002B3B5C">
            <w:pPr>
              <w:rPr>
                <w:color w:val="000000"/>
                <w:sz w:val="24"/>
                <w:szCs w:val="24"/>
              </w:rPr>
            </w:pPr>
          </w:p>
          <w:p w:rsidR="003D5AE9" w:rsidRDefault="00385922" w:rsidP="002B3B5C">
            <w:r w:rsidRPr="0093749D">
              <w:rPr>
                <w:color w:val="000000"/>
                <w:sz w:val="24"/>
                <w:szCs w:val="24"/>
              </w:rPr>
              <w:t>E</w:t>
            </w:r>
            <w:r w:rsidR="003D5AE9" w:rsidRPr="0093749D">
              <w:rPr>
                <w:color w:val="000000"/>
                <w:sz w:val="24"/>
                <w:szCs w:val="24"/>
              </w:rPr>
              <w:t xml:space="preserve">nforcement action </w:t>
            </w:r>
            <w:r w:rsidRPr="0093749D">
              <w:rPr>
                <w:color w:val="000000"/>
                <w:sz w:val="24"/>
                <w:szCs w:val="24"/>
              </w:rPr>
              <w:t>is</w:t>
            </w:r>
            <w:r w:rsidR="003D5AE9" w:rsidRPr="0093749D">
              <w:rPr>
                <w:color w:val="000000"/>
                <w:sz w:val="24"/>
                <w:szCs w:val="24"/>
              </w:rPr>
              <w:t xml:space="preserve"> therefore proposed under Section </w:t>
            </w:r>
            <w:r w:rsidR="00072550" w:rsidRPr="0093749D">
              <w:rPr>
                <w:color w:val="000000"/>
                <w:sz w:val="24"/>
                <w:szCs w:val="24"/>
              </w:rPr>
              <w:t xml:space="preserve">38 of the Planning </w:t>
            </w:r>
            <w:r w:rsidR="00072550" w:rsidRPr="0093749D">
              <w:rPr>
                <w:sz w:val="24"/>
                <w:szCs w:val="24"/>
              </w:rPr>
              <w:t>(Listed Buildings and Conservation Areas) Act 1990.</w:t>
            </w:r>
          </w:p>
        </w:tc>
      </w:tr>
      <w:tr w:rsidR="002B3B5C" w:rsidTr="00030142">
        <w:trPr>
          <w:gridAfter w:val="1"/>
          <w:wAfter w:w="32" w:type="dxa"/>
        </w:trPr>
        <w:tc>
          <w:tcPr>
            <w:tcW w:w="711" w:type="dxa"/>
            <w:gridSpan w:val="2"/>
          </w:tcPr>
          <w:p w:rsidR="002B3B5C" w:rsidRPr="002B3B5C" w:rsidRDefault="002B3B5C">
            <w:pPr>
              <w:rPr>
                <w:b/>
                <w:sz w:val="24"/>
                <w:szCs w:val="24"/>
              </w:rPr>
            </w:pPr>
            <w:r w:rsidRPr="002B3B5C">
              <w:rPr>
                <w:b/>
                <w:sz w:val="24"/>
                <w:szCs w:val="24"/>
              </w:rPr>
              <w:t>1.2</w:t>
            </w:r>
          </w:p>
        </w:tc>
        <w:tc>
          <w:tcPr>
            <w:tcW w:w="1807" w:type="dxa"/>
          </w:tcPr>
          <w:p w:rsidR="002B3B5C" w:rsidRPr="00F93043" w:rsidRDefault="002B3B5C" w:rsidP="00F56F54">
            <w:pPr>
              <w:rPr>
                <w:sz w:val="24"/>
                <w:szCs w:val="24"/>
              </w:rPr>
            </w:pPr>
            <w:r>
              <w:rPr>
                <w:sz w:val="24"/>
                <w:szCs w:val="24"/>
              </w:rPr>
              <w:t xml:space="preserve">Provide brief details of the </w:t>
            </w:r>
            <w:r w:rsidR="00F56F54">
              <w:rPr>
                <w:sz w:val="24"/>
                <w:szCs w:val="24"/>
              </w:rPr>
              <w:t>background</w:t>
            </w:r>
          </w:p>
        </w:tc>
        <w:tc>
          <w:tcPr>
            <w:tcW w:w="11624" w:type="dxa"/>
            <w:gridSpan w:val="3"/>
          </w:tcPr>
          <w:p w:rsidR="00F56F54" w:rsidRPr="0093749D" w:rsidRDefault="00F56F54" w:rsidP="00F56F54">
            <w:pPr>
              <w:autoSpaceDE w:val="0"/>
              <w:autoSpaceDN w:val="0"/>
              <w:adjustRightInd w:val="0"/>
              <w:rPr>
                <w:sz w:val="24"/>
                <w:szCs w:val="24"/>
              </w:rPr>
            </w:pPr>
            <w:r w:rsidRPr="0093749D">
              <w:rPr>
                <w:sz w:val="24"/>
                <w:szCs w:val="24"/>
              </w:rPr>
              <w:t xml:space="preserve">Prior to the unauthorised work stall 36 consisted of modern fabric in the form of a series of upright posts supporting the canopy roof with a decorative scalloped edge.  Business was transacted over the counter and there was no formal entrance into the stall for customers.  The stall owner constructed an enclosed shop-style structure around the stall without permission.  </w:t>
            </w:r>
          </w:p>
          <w:p w:rsidR="00F56F54" w:rsidRPr="0093749D" w:rsidRDefault="00F56F54" w:rsidP="00F56F54">
            <w:pPr>
              <w:autoSpaceDE w:val="0"/>
              <w:autoSpaceDN w:val="0"/>
              <w:adjustRightInd w:val="0"/>
              <w:rPr>
                <w:sz w:val="24"/>
                <w:szCs w:val="24"/>
              </w:rPr>
            </w:pPr>
          </w:p>
          <w:p w:rsidR="002B3B5C" w:rsidRPr="0093749D" w:rsidRDefault="00F56F54" w:rsidP="00F56F54">
            <w:pPr>
              <w:rPr>
                <w:sz w:val="24"/>
                <w:szCs w:val="24"/>
              </w:rPr>
            </w:pPr>
            <w:r w:rsidRPr="0093749D">
              <w:rPr>
                <w:sz w:val="24"/>
                <w:szCs w:val="24"/>
              </w:rPr>
              <w:t xml:space="preserve">The majority of the existing stalls around the perimeter of the market are of post and canopy design or comprise a combination of enclosed space and unenclosed display area.  Overall the character of the market stalls is simple and open with trading over the counters.  In this context, the rather formal shop-style arrangement constructed at Stall 36 is not considered to preserve the special architectural and historic interest of the Guildhall Market.  </w:t>
            </w:r>
            <w:r w:rsidR="00072550" w:rsidRPr="0093749D">
              <w:rPr>
                <w:sz w:val="24"/>
                <w:szCs w:val="24"/>
              </w:rPr>
              <w:t>.</w:t>
            </w:r>
          </w:p>
          <w:p w:rsidR="00F56F54" w:rsidRPr="0093749D" w:rsidRDefault="00F56F54">
            <w:pPr>
              <w:rPr>
                <w:sz w:val="24"/>
                <w:szCs w:val="24"/>
              </w:rPr>
            </w:pPr>
          </w:p>
          <w:p w:rsidR="00F56F54" w:rsidRPr="0093749D" w:rsidRDefault="00F56F54" w:rsidP="00F56F54">
            <w:pPr>
              <w:autoSpaceDE w:val="0"/>
              <w:autoSpaceDN w:val="0"/>
              <w:adjustRightInd w:val="0"/>
              <w:rPr>
                <w:sz w:val="24"/>
                <w:szCs w:val="24"/>
              </w:rPr>
            </w:pPr>
            <w:r w:rsidRPr="0093749D">
              <w:rPr>
                <w:sz w:val="24"/>
                <w:szCs w:val="24"/>
              </w:rPr>
              <w:t xml:space="preserve">An application 10/00564/LBA proposed the replacement of the post and canopy structure with a much more enclosed shop front style arrangement, comprising a door opening with sash windows either side over a stall riser to the east and two sash windows over a stall riser to the north.  (This application differed slightly from the unauthorised implemented development in that there is a narrower door and fewer windows on the east elevation of the proposal.)  </w:t>
            </w:r>
          </w:p>
          <w:p w:rsidR="00F56F54" w:rsidRPr="0093749D" w:rsidRDefault="00F56F54" w:rsidP="00F56F54">
            <w:pPr>
              <w:autoSpaceDE w:val="0"/>
              <w:autoSpaceDN w:val="0"/>
              <w:adjustRightInd w:val="0"/>
              <w:rPr>
                <w:sz w:val="24"/>
                <w:szCs w:val="24"/>
              </w:rPr>
            </w:pPr>
          </w:p>
          <w:p w:rsidR="00F56F54" w:rsidRPr="0093749D" w:rsidRDefault="00F56F54" w:rsidP="00F56F54">
            <w:pPr>
              <w:autoSpaceDE w:val="0"/>
              <w:autoSpaceDN w:val="0"/>
              <w:adjustRightInd w:val="0"/>
              <w:rPr>
                <w:rFonts w:ascii="Helvetica" w:hAnsi="Helvetica" w:cs="Helvetica"/>
                <w:sz w:val="24"/>
                <w:szCs w:val="24"/>
              </w:rPr>
            </w:pPr>
            <w:r w:rsidRPr="0093749D">
              <w:rPr>
                <w:sz w:val="24"/>
                <w:szCs w:val="24"/>
              </w:rPr>
              <w:t>The application was refused consent for the following reason: “The proposed market stall by reason of its relatively enclosed shop front style design and security shutters would not preserve the special architectural and historic interest of the listed undercover market and its established character contrary to the Planning (Listed Buildings and Conservation Areas) Act 1990 and Planning Policy Statement 5 (Planning for the Historic Environment).”</w:t>
            </w:r>
          </w:p>
          <w:p w:rsidR="00F56F54" w:rsidRPr="0093749D" w:rsidRDefault="00F56F54" w:rsidP="00F56F54">
            <w:pPr>
              <w:autoSpaceDE w:val="0"/>
              <w:autoSpaceDN w:val="0"/>
              <w:adjustRightInd w:val="0"/>
              <w:rPr>
                <w:rFonts w:ascii="Helvetica" w:hAnsi="Helvetica" w:cs="Helvetica"/>
                <w:sz w:val="24"/>
                <w:szCs w:val="24"/>
              </w:rPr>
            </w:pPr>
          </w:p>
          <w:p w:rsidR="00F56F54" w:rsidRPr="0093749D" w:rsidRDefault="00F56F54">
            <w:pPr>
              <w:rPr>
                <w:sz w:val="24"/>
                <w:szCs w:val="24"/>
              </w:rPr>
            </w:pPr>
            <w:r w:rsidRPr="0093749D">
              <w:rPr>
                <w:sz w:val="24"/>
                <w:szCs w:val="24"/>
              </w:rPr>
              <w:t>An appeal in relation to this decision was dismissed by the Planning Inspectorate, the design appearing too solid and formal for the site and its setting, and more appropriate to an arcade than a market of this nature.</w:t>
            </w:r>
          </w:p>
          <w:p w:rsidR="00F56F54" w:rsidRPr="0093749D" w:rsidRDefault="00F56F54">
            <w:pPr>
              <w:rPr>
                <w:sz w:val="24"/>
                <w:szCs w:val="24"/>
              </w:rPr>
            </w:pPr>
          </w:p>
        </w:tc>
      </w:tr>
      <w:tr w:rsidR="002B3B5C" w:rsidTr="00030142">
        <w:trPr>
          <w:gridAfter w:val="1"/>
          <w:wAfter w:w="32" w:type="dxa"/>
        </w:trPr>
        <w:tc>
          <w:tcPr>
            <w:tcW w:w="711"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lastRenderedPageBreak/>
              <w:t>1.3</w:t>
            </w:r>
          </w:p>
        </w:tc>
        <w:tc>
          <w:tcPr>
            <w:tcW w:w="1807" w:type="dxa"/>
          </w:tcPr>
          <w:p w:rsidR="002B3B5C" w:rsidRPr="00F93043" w:rsidRDefault="002B3B5C" w:rsidP="00540581">
            <w:pPr>
              <w:rPr>
                <w:iCs/>
                <w:sz w:val="24"/>
                <w:szCs w:val="24"/>
              </w:rPr>
            </w:pPr>
            <w:r>
              <w:rPr>
                <w:iCs/>
                <w:sz w:val="24"/>
                <w:szCs w:val="24"/>
              </w:rPr>
              <w:t>Do the aims of this p</w:t>
            </w:r>
            <w:r w:rsidR="00540581">
              <w:rPr>
                <w:iCs/>
                <w:sz w:val="24"/>
                <w:szCs w:val="24"/>
              </w:rPr>
              <w:t>roposed action</w:t>
            </w:r>
            <w:r>
              <w:rPr>
                <w:iCs/>
                <w:sz w:val="24"/>
                <w:szCs w:val="24"/>
              </w:rPr>
              <w:t xml:space="preserve"> conflict with any other </w:t>
            </w:r>
            <w:r w:rsidRPr="00F93043">
              <w:rPr>
                <w:iCs/>
                <w:sz w:val="24"/>
                <w:szCs w:val="24"/>
              </w:rPr>
              <w:t xml:space="preserve">policies of the </w:t>
            </w:r>
            <w:r>
              <w:rPr>
                <w:iCs/>
                <w:sz w:val="24"/>
                <w:szCs w:val="24"/>
              </w:rPr>
              <w:t>Council?</w:t>
            </w:r>
          </w:p>
        </w:tc>
        <w:tc>
          <w:tcPr>
            <w:tcW w:w="11624" w:type="dxa"/>
            <w:gridSpan w:val="3"/>
          </w:tcPr>
          <w:p w:rsidR="002B3B5C" w:rsidRPr="0093749D" w:rsidRDefault="00540581" w:rsidP="00540581">
            <w:pPr>
              <w:spacing w:before="40" w:after="40"/>
              <w:rPr>
                <w:bCs/>
                <w:sz w:val="24"/>
                <w:szCs w:val="24"/>
              </w:rPr>
            </w:pPr>
            <w:r w:rsidRPr="0093749D">
              <w:rPr>
                <w:bCs/>
                <w:sz w:val="24"/>
                <w:szCs w:val="24"/>
              </w:rPr>
              <w:t>No, this is a s</w:t>
            </w:r>
            <w:r w:rsidR="00072550" w:rsidRPr="0093749D">
              <w:rPr>
                <w:bCs/>
                <w:sz w:val="24"/>
                <w:szCs w:val="24"/>
              </w:rPr>
              <w:t>tatutory process.</w:t>
            </w:r>
          </w:p>
        </w:tc>
      </w:tr>
      <w:tr w:rsidR="00072550">
        <w:tc>
          <w:tcPr>
            <w:tcW w:w="14174" w:type="dxa"/>
            <w:gridSpan w:val="7"/>
            <w:shd w:val="clear" w:color="auto" w:fill="D9D9D9"/>
          </w:tcPr>
          <w:p w:rsidR="00072550" w:rsidRDefault="00072550">
            <w:pPr>
              <w:spacing w:before="40" w:after="40"/>
              <w:rPr>
                <w:b/>
                <w:bCs/>
                <w:sz w:val="28"/>
                <w:szCs w:val="28"/>
              </w:rPr>
            </w:pPr>
          </w:p>
          <w:p w:rsidR="00072550" w:rsidRDefault="00170C98">
            <w:pPr>
              <w:spacing w:before="40" w:after="40"/>
              <w:rPr>
                <w:b/>
                <w:bCs/>
                <w:sz w:val="28"/>
                <w:szCs w:val="28"/>
              </w:rPr>
            </w:pPr>
            <w:r>
              <w:rPr>
                <w:b/>
                <w:bCs/>
                <w:sz w:val="28"/>
                <w:szCs w:val="28"/>
              </w:rPr>
              <w:t>2</w:t>
            </w:r>
            <w:r w:rsidR="00072550">
              <w:rPr>
                <w:b/>
                <w:bCs/>
                <w:sz w:val="28"/>
                <w:szCs w:val="28"/>
              </w:rPr>
              <w:t>. Assessment of impact: ‘Equality analysis’</w:t>
            </w:r>
          </w:p>
          <w:p w:rsidR="00072550" w:rsidRDefault="00072550">
            <w:pPr>
              <w:spacing w:before="40" w:after="40"/>
              <w:rPr>
                <w:b/>
                <w:bCs/>
                <w:sz w:val="28"/>
                <w:szCs w:val="28"/>
              </w:rPr>
            </w:pPr>
          </w:p>
        </w:tc>
      </w:tr>
      <w:tr w:rsidR="00072550" w:rsidTr="00030142">
        <w:tc>
          <w:tcPr>
            <w:tcW w:w="684" w:type="dxa"/>
          </w:tcPr>
          <w:p w:rsidR="00072550" w:rsidRPr="00F93043" w:rsidRDefault="00072550">
            <w:pPr>
              <w:rPr>
                <w:sz w:val="24"/>
                <w:szCs w:val="24"/>
              </w:rPr>
            </w:pPr>
          </w:p>
        </w:tc>
        <w:tc>
          <w:tcPr>
            <w:tcW w:w="3819" w:type="dxa"/>
            <w:gridSpan w:val="3"/>
          </w:tcPr>
          <w:p w:rsidR="00072550" w:rsidRPr="00F93043" w:rsidRDefault="00072550" w:rsidP="00C70B44">
            <w:pPr>
              <w:rPr>
                <w:sz w:val="24"/>
                <w:szCs w:val="24"/>
              </w:rPr>
            </w:pPr>
          </w:p>
        </w:tc>
        <w:tc>
          <w:tcPr>
            <w:tcW w:w="5558" w:type="dxa"/>
            <w:shd w:val="clear" w:color="auto" w:fill="auto"/>
          </w:tcPr>
          <w:p w:rsidR="00072550" w:rsidRDefault="00072550">
            <w:pPr>
              <w:rPr>
                <w:b/>
                <w:sz w:val="24"/>
                <w:szCs w:val="24"/>
              </w:rPr>
            </w:pPr>
            <w:r>
              <w:rPr>
                <w:b/>
                <w:sz w:val="24"/>
                <w:szCs w:val="24"/>
              </w:rPr>
              <w:t>Examples of what the service has done to promote equality</w:t>
            </w:r>
          </w:p>
          <w:p w:rsidR="00072550" w:rsidRDefault="00072550">
            <w:pPr>
              <w:rPr>
                <w:b/>
                <w:sz w:val="24"/>
                <w:szCs w:val="24"/>
              </w:rPr>
            </w:pPr>
          </w:p>
        </w:tc>
        <w:tc>
          <w:tcPr>
            <w:tcW w:w="4113" w:type="dxa"/>
            <w:gridSpan w:val="2"/>
            <w:shd w:val="clear" w:color="auto" w:fill="auto"/>
          </w:tcPr>
          <w:p w:rsidR="00072550" w:rsidRPr="002B3B5C" w:rsidRDefault="00072550">
            <w:pPr>
              <w:rPr>
                <w:b/>
                <w:sz w:val="24"/>
                <w:szCs w:val="24"/>
              </w:rPr>
            </w:pPr>
            <w:r>
              <w:rPr>
                <w:b/>
                <w:sz w:val="24"/>
                <w:szCs w:val="24"/>
              </w:rPr>
              <w:t>Examples of actual or potential negative or adverse impact and what steps have been or could be taken to address this</w:t>
            </w:r>
          </w:p>
        </w:tc>
      </w:tr>
      <w:tr w:rsidR="005B678C" w:rsidTr="00030142">
        <w:trPr>
          <w:trHeight w:val="690"/>
        </w:trPr>
        <w:tc>
          <w:tcPr>
            <w:tcW w:w="684" w:type="dxa"/>
          </w:tcPr>
          <w:p w:rsidR="005B678C" w:rsidRPr="002B3B5C" w:rsidRDefault="00170C98" w:rsidP="005B678C">
            <w:pPr>
              <w:rPr>
                <w:b/>
                <w:sz w:val="24"/>
                <w:szCs w:val="24"/>
              </w:rPr>
            </w:pPr>
            <w:r>
              <w:rPr>
                <w:b/>
                <w:sz w:val="24"/>
                <w:szCs w:val="24"/>
              </w:rPr>
              <w:t>2</w:t>
            </w:r>
            <w:r w:rsidR="005B678C" w:rsidRPr="002B3B5C">
              <w:rPr>
                <w:b/>
                <w:sz w:val="24"/>
                <w:szCs w:val="24"/>
              </w:rPr>
              <w:t>.1</w:t>
            </w:r>
          </w:p>
        </w:tc>
        <w:tc>
          <w:tcPr>
            <w:tcW w:w="3819" w:type="dxa"/>
            <w:gridSpan w:val="3"/>
          </w:tcPr>
          <w:p w:rsidR="005B678C" w:rsidRDefault="005B678C" w:rsidP="004262F2">
            <w:pPr>
              <w:rPr>
                <w:b/>
                <w:sz w:val="24"/>
                <w:szCs w:val="24"/>
              </w:rPr>
            </w:pPr>
            <w:r w:rsidRPr="00F93043">
              <w:rPr>
                <w:b/>
                <w:sz w:val="24"/>
                <w:szCs w:val="24"/>
              </w:rPr>
              <w:t>Gender</w:t>
            </w:r>
            <w:r w:rsidR="00000C74">
              <w:rPr>
                <w:b/>
                <w:sz w:val="24"/>
                <w:szCs w:val="24"/>
              </w:rPr>
              <w:t>, pregnancy and maternity, t</w:t>
            </w:r>
            <w:r>
              <w:rPr>
                <w:b/>
                <w:sz w:val="24"/>
                <w:szCs w:val="24"/>
              </w:rPr>
              <w:t xml:space="preserve">ransgender, </w:t>
            </w:r>
            <w:r w:rsidR="00000C74">
              <w:rPr>
                <w:b/>
                <w:sz w:val="24"/>
                <w:szCs w:val="24"/>
              </w:rPr>
              <w:t>a</w:t>
            </w:r>
            <w:r w:rsidRPr="00F93043">
              <w:rPr>
                <w:b/>
                <w:sz w:val="24"/>
                <w:szCs w:val="24"/>
              </w:rPr>
              <w:t>ge</w:t>
            </w:r>
            <w:r w:rsidR="00000C74">
              <w:rPr>
                <w:b/>
                <w:sz w:val="24"/>
                <w:szCs w:val="24"/>
              </w:rPr>
              <w:t>, r</w:t>
            </w:r>
            <w:r>
              <w:rPr>
                <w:b/>
                <w:sz w:val="24"/>
                <w:szCs w:val="24"/>
              </w:rPr>
              <w:t xml:space="preserve">ace, </w:t>
            </w:r>
            <w:r w:rsidR="00000C74">
              <w:rPr>
                <w:b/>
                <w:sz w:val="24"/>
                <w:szCs w:val="24"/>
              </w:rPr>
              <w:t>s</w:t>
            </w:r>
            <w:r w:rsidRPr="00F93043">
              <w:rPr>
                <w:b/>
                <w:sz w:val="24"/>
                <w:szCs w:val="24"/>
              </w:rPr>
              <w:t>exual orientation</w:t>
            </w:r>
            <w:r w:rsidR="00000C74">
              <w:rPr>
                <w:b/>
                <w:sz w:val="24"/>
                <w:szCs w:val="24"/>
              </w:rPr>
              <w:t xml:space="preserve">, </w:t>
            </w:r>
            <w:r w:rsidR="00000C74">
              <w:rPr>
                <w:b/>
                <w:sz w:val="24"/>
                <w:szCs w:val="24"/>
              </w:rPr>
              <w:lastRenderedPageBreak/>
              <w:t>m</w:t>
            </w:r>
            <w:r>
              <w:rPr>
                <w:b/>
                <w:sz w:val="24"/>
                <w:szCs w:val="24"/>
              </w:rPr>
              <w:t xml:space="preserve">arriage and civil partnership, </w:t>
            </w:r>
            <w:r w:rsidR="00000C74">
              <w:rPr>
                <w:b/>
                <w:sz w:val="24"/>
                <w:szCs w:val="24"/>
              </w:rPr>
              <w:t>r</w:t>
            </w:r>
            <w:r w:rsidRPr="00F93043">
              <w:rPr>
                <w:b/>
                <w:sz w:val="24"/>
                <w:szCs w:val="24"/>
              </w:rPr>
              <w:t>eligion/belief</w:t>
            </w:r>
            <w:r>
              <w:rPr>
                <w:b/>
                <w:sz w:val="24"/>
                <w:szCs w:val="24"/>
              </w:rPr>
              <w:t xml:space="preserve">, </w:t>
            </w:r>
            <w:r w:rsidR="00000C74">
              <w:rPr>
                <w:rFonts w:cs="Arial"/>
                <w:b/>
                <w:sz w:val="24"/>
                <w:szCs w:val="24"/>
              </w:rPr>
              <w:t>s</w:t>
            </w:r>
            <w:r w:rsidRPr="002B3B5C">
              <w:rPr>
                <w:rFonts w:cs="Arial"/>
                <w:b/>
                <w:sz w:val="24"/>
                <w:szCs w:val="24"/>
              </w:rPr>
              <w:t>ocio-economically disadvantaged</w:t>
            </w:r>
            <w:r w:rsidR="00170C98">
              <w:rPr>
                <w:rFonts w:cs="Arial"/>
                <w:b/>
                <w:sz w:val="24"/>
                <w:szCs w:val="24"/>
              </w:rPr>
              <w:t>, r</w:t>
            </w:r>
            <w:r w:rsidR="00170C98" w:rsidRPr="002B3B5C">
              <w:rPr>
                <w:rFonts w:cs="Arial"/>
                <w:b/>
                <w:sz w:val="24"/>
                <w:szCs w:val="24"/>
              </w:rPr>
              <w:t>ural communities</w:t>
            </w:r>
          </w:p>
          <w:p w:rsidR="005B678C" w:rsidRPr="002B3B5C" w:rsidRDefault="005B678C" w:rsidP="001A6E7A">
            <w:pPr>
              <w:rPr>
                <w:sz w:val="24"/>
                <w:szCs w:val="24"/>
              </w:rPr>
            </w:pPr>
            <w:r>
              <w:rPr>
                <w:b/>
                <w:sz w:val="24"/>
                <w:szCs w:val="24"/>
              </w:rPr>
              <w:t xml:space="preserve"> </w:t>
            </w:r>
            <w:r w:rsidRPr="00F93043">
              <w:rPr>
                <w:sz w:val="24"/>
                <w:szCs w:val="24"/>
              </w:rPr>
              <w:t xml:space="preserve">– identify the impact/potential impact of the policy on </w:t>
            </w:r>
            <w:r>
              <w:rPr>
                <w:sz w:val="24"/>
                <w:szCs w:val="24"/>
              </w:rPr>
              <w:t xml:space="preserve">these protected characteristics  </w:t>
            </w:r>
          </w:p>
        </w:tc>
        <w:tc>
          <w:tcPr>
            <w:tcW w:w="5558" w:type="dxa"/>
            <w:shd w:val="clear" w:color="auto" w:fill="auto"/>
          </w:tcPr>
          <w:p w:rsidR="005B678C" w:rsidRPr="0093749D" w:rsidRDefault="005B678C">
            <w:pPr>
              <w:rPr>
                <w:sz w:val="24"/>
                <w:szCs w:val="24"/>
              </w:rPr>
            </w:pPr>
            <w:r w:rsidRPr="0093749D">
              <w:rPr>
                <w:sz w:val="24"/>
                <w:szCs w:val="24"/>
              </w:rPr>
              <w:lastRenderedPageBreak/>
              <w:t>Neutral impact – enforcement action would have no impact on people with these protected characteristics</w:t>
            </w:r>
          </w:p>
          <w:p w:rsidR="005B678C" w:rsidRPr="0093749D" w:rsidRDefault="005B678C">
            <w:pPr>
              <w:rPr>
                <w:sz w:val="24"/>
                <w:szCs w:val="24"/>
              </w:rPr>
            </w:pPr>
          </w:p>
        </w:tc>
        <w:tc>
          <w:tcPr>
            <w:tcW w:w="4113" w:type="dxa"/>
            <w:gridSpan w:val="2"/>
            <w:shd w:val="clear" w:color="auto" w:fill="auto"/>
          </w:tcPr>
          <w:p w:rsidR="005B678C" w:rsidRDefault="005B678C" w:rsidP="002B3B5C"/>
        </w:tc>
      </w:tr>
      <w:tr w:rsidR="00072550" w:rsidTr="00030142">
        <w:tc>
          <w:tcPr>
            <w:tcW w:w="684" w:type="dxa"/>
          </w:tcPr>
          <w:p w:rsidR="00072550" w:rsidRPr="002B3B5C" w:rsidRDefault="00170C98">
            <w:pPr>
              <w:rPr>
                <w:b/>
                <w:sz w:val="24"/>
                <w:szCs w:val="24"/>
              </w:rPr>
            </w:pPr>
            <w:r>
              <w:rPr>
                <w:b/>
                <w:sz w:val="24"/>
                <w:szCs w:val="24"/>
              </w:rPr>
              <w:lastRenderedPageBreak/>
              <w:t>2</w:t>
            </w:r>
            <w:r w:rsidR="00072550">
              <w:rPr>
                <w:b/>
                <w:sz w:val="24"/>
                <w:szCs w:val="24"/>
              </w:rPr>
              <w:t>.</w:t>
            </w:r>
            <w:r w:rsidR="005B678C">
              <w:rPr>
                <w:b/>
                <w:sz w:val="24"/>
                <w:szCs w:val="24"/>
              </w:rPr>
              <w:t>2</w:t>
            </w:r>
          </w:p>
        </w:tc>
        <w:tc>
          <w:tcPr>
            <w:tcW w:w="3819" w:type="dxa"/>
            <w:gridSpan w:val="3"/>
          </w:tcPr>
          <w:p w:rsidR="00072550" w:rsidRPr="00F93043" w:rsidRDefault="00072550" w:rsidP="002C4B12">
            <w:pPr>
              <w:rPr>
                <w:sz w:val="24"/>
                <w:szCs w:val="24"/>
              </w:rPr>
            </w:pPr>
            <w:r w:rsidRPr="00F93043">
              <w:rPr>
                <w:b/>
                <w:sz w:val="24"/>
                <w:szCs w:val="24"/>
              </w:rPr>
              <w:t>Disability</w:t>
            </w:r>
            <w:r w:rsidRPr="00F93043">
              <w:rPr>
                <w:sz w:val="24"/>
                <w:szCs w:val="24"/>
              </w:rPr>
              <w:t xml:space="preserve"> - identify the impact/potential impact of the policy on disabled people (ensure consideration </w:t>
            </w:r>
            <w:r>
              <w:rPr>
                <w:sz w:val="24"/>
                <w:szCs w:val="24"/>
              </w:rPr>
              <w:t>both physical and mental impairments)</w:t>
            </w:r>
          </w:p>
        </w:tc>
        <w:tc>
          <w:tcPr>
            <w:tcW w:w="5558" w:type="dxa"/>
            <w:shd w:val="clear" w:color="auto" w:fill="auto"/>
          </w:tcPr>
          <w:p w:rsidR="00072550" w:rsidRPr="0093749D" w:rsidRDefault="00170C98" w:rsidP="00170C98">
            <w:pPr>
              <w:rPr>
                <w:sz w:val="24"/>
                <w:szCs w:val="24"/>
              </w:rPr>
            </w:pPr>
            <w:r w:rsidRPr="0093749D">
              <w:rPr>
                <w:sz w:val="24"/>
                <w:szCs w:val="24"/>
              </w:rPr>
              <w:t xml:space="preserve">Reinstating the open-style character of the stall </w:t>
            </w:r>
            <w:r w:rsidR="008519E5" w:rsidRPr="0093749D">
              <w:rPr>
                <w:sz w:val="24"/>
                <w:szCs w:val="24"/>
              </w:rPr>
              <w:t>could po</w:t>
            </w:r>
            <w:r w:rsidRPr="0093749D">
              <w:rPr>
                <w:sz w:val="24"/>
                <w:szCs w:val="24"/>
              </w:rPr>
              <w:t>tentially improve access for</w:t>
            </w:r>
            <w:r w:rsidR="008519E5" w:rsidRPr="0093749D">
              <w:rPr>
                <w:sz w:val="24"/>
                <w:szCs w:val="24"/>
              </w:rPr>
              <w:t xml:space="preserve"> disabled </w:t>
            </w:r>
            <w:r w:rsidRPr="0093749D">
              <w:rPr>
                <w:sz w:val="24"/>
                <w:szCs w:val="24"/>
              </w:rPr>
              <w:t xml:space="preserve">people </w:t>
            </w:r>
            <w:r w:rsidR="008519E5" w:rsidRPr="0093749D">
              <w:rPr>
                <w:sz w:val="24"/>
                <w:szCs w:val="24"/>
              </w:rPr>
              <w:t xml:space="preserve">by making the stall more </w:t>
            </w:r>
            <w:r w:rsidR="003A3CED" w:rsidRPr="0093749D">
              <w:rPr>
                <w:sz w:val="24"/>
                <w:szCs w:val="24"/>
              </w:rPr>
              <w:t>accessible</w:t>
            </w:r>
            <w:r w:rsidRPr="0093749D">
              <w:rPr>
                <w:sz w:val="24"/>
                <w:szCs w:val="24"/>
              </w:rPr>
              <w:t>.</w:t>
            </w:r>
          </w:p>
        </w:tc>
        <w:tc>
          <w:tcPr>
            <w:tcW w:w="4113" w:type="dxa"/>
            <w:gridSpan w:val="2"/>
            <w:shd w:val="clear" w:color="auto" w:fill="auto"/>
          </w:tcPr>
          <w:p w:rsidR="00072550" w:rsidRDefault="00072550" w:rsidP="002B3B5C"/>
        </w:tc>
      </w:tr>
    </w:tbl>
    <w:p w:rsidR="002B3B5C" w:rsidRDefault="002B3B5C" w:rsidP="00163C4F">
      <w:pPr>
        <w:autoSpaceDE w:val="0"/>
        <w:autoSpaceDN w:val="0"/>
        <w:adjustRightInd w:val="0"/>
        <w:rPr>
          <w:b/>
          <w:sz w:val="32"/>
          <w:szCs w:val="32"/>
        </w:rPr>
      </w:pPr>
    </w:p>
    <w:p w:rsidR="00163C4F" w:rsidRDefault="00170C98" w:rsidP="00163C4F">
      <w:pPr>
        <w:autoSpaceDE w:val="0"/>
        <w:autoSpaceDN w:val="0"/>
        <w:adjustRightInd w:val="0"/>
        <w:rPr>
          <w:b/>
          <w:sz w:val="32"/>
          <w:szCs w:val="32"/>
        </w:rPr>
      </w:pPr>
      <w:r>
        <w:rPr>
          <w:b/>
          <w:sz w:val="32"/>
          <w:szCs w:val="32"/>
        </w:rPr>
        <w:t>3</w:t>
      </w:r>
      <w:r w:rsidR="000A184F">
        <w:rPr>
          <w:b/>
          <w:sz w:val="32"/>
          <w:szCs w:val="32"/>
        </w:rPr>
        <w:t xml:space="preserve">. </w:t>
      </w:r>
      <w:r w:rsidR="00163C4F">
        <w:rPr>
          <w:b/>
          <w:sz w:val="32"/>
          <w:szCs w:val="32"/>
        </w:rPr>
        <w:t xml:space="preserve">Bath and North East Somerset Council </w:t>
      </w:r>
      <w:r w:rsidR="002B3B5C">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 xml:space="preserve">Please list actions that you plan to take as a result of this assessment.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sidR="002B3B5C">
        <w:rPr>
          <w:rFonts w:cs="Arial"/>
          <w:sz w:val="24"/>
          <w:szCs w:val="24"/>
          <w:lang w:eastAsia="en-GB"/>
        </w:rPr>
        <w:t>framed</w:t>
      </w:r>
      <w:r w:rsidRPr="00163C4F">
        <w:rPr>
          <w:rFonts w:cs="Arial"/>
          <w:sz w:val="24"/>
          <w:szCs w:val="24"/>
          <w:lang w:eastAsia="en-GB"/>
        </w:rPr>
        <w:t>.</w:t>
      </w:r>
    </w:p>
    <w:p w:rsidR="008D13A5" w:rsidRPr="00163C4F" w:rsidRDefault="008D13A5" w:rsidP="00163C4F">
      <w:pPr>
        <w:autoSpaceDE w:val="0"/>
        <w:autoSpaceDN w:val="0"/>
        <w:adjustRightInd w:val="0"/>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44"/>
        <w:gridCol w:w="3822"/>
        <w:gridCol w:w="1564"/>
        <w:gridCol w:w="1450"/>
      </w:tblGrid>
      <w:tr w:rsidR="006B2DF8">
        <w:tc>
          <w:tcPr>
            <w:tcW w:w="3794" w:type="dxa"/>
            <w:shd w:val="clear" w:color="auto" w:fill="D9D9D9"/>
            <w:vAlign w:val="center"/>
          </w:tcPr>
          <w:p w:rsidR="006B2DF8" w:rsidRDefault="00163C4F">
            <w:pPr>
              <w:rPr>
                <w:b/>
                <w:sz w:val="24"/>
                <w:szCs w:val="24"/>
              </w:rPr>
            </w:pPr>
            <w:r>
              <w:rPr>
                <w:b/>
                <w:sz w:val="24"/>
                <w:szCs w:val="24"/>
              </w:rPr>
              <w:t>Issues identified</w:t>
            </w:r>
          </w:p>
        </w:tc>
        <w:tc>
          <w:tcPr>
            <w:tcW w:w="3544" w:type="dxa"/>
            <w:shd w:val="clear" w:color="auto" w:fill="D9D9D9"/>
            <w:vAlign w:val="center"/>
          </w:tcPr>
          <w:p w:rsidR="006B2DF8" w:rsidRDefault="00163C4F">
            <w:pPr>
              <w:rPr>
                <w:b/>
                <w:sz w:val="24"/>
                <w:szCs w:val="24"/>
              </w:rPr>
            </w:pPr>
            <w:r>
              <w:rPr>
                <w:b/>
                <w:sz w:val="24"/>
                <w:szCs w:val="24"/>
              </w:rPr>
              <w:t>Actions required</w:t>
            </w:r>
          </w:p>
        </w:tc>
        <w:tc>
          <w:tcPr>
            <w:tcW w:w="382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072550">
        <w:tc>
          <w:tcPr>
            <w:tcW w:w="3794" w:type="dxa"/>
          </w:tcPr>
          <w:p w:rsidR="00072550" w:rsidRPr="0093749D" w:rsidRDefault="00E273DD" w:rsidP="004262F2">
            <w:pPr>
              <w:rPr>
                <w:sz w:val="24"/>
                <w:szCs w:val="24"/>
              </w:rPr>
            </w:pPr>
            <w:r w:rsidRPr="0093749D">
              <w:rPr>
                <w:sz w:val="24"/>
                <w:szCs w:val="24"/>
              </w:rPr>
              <w:t>None</w:t>
            </w:r>
          </w:p>
          <w:p w:rsidR="00072550" w:rsidRPr="0093749D" w:rsidRDefault="00072550" w:rsidP="004262F2">
            <w:pPr>
              <w:rPr>
                <w:sz w:val="24"/>
                <w:szCs w:val="24"/>
              </w:rPr>
            </w:pPr>
          </w:p>
        </w:tc>
        <w:tc>
          <w:tcPr>
            <w:tcW w:w="3544" w:type="dxa"/>
          </w:tcPr>
          <w:p w:rsidR="00072550" w:rsidRPr="0093749D" w:rsidRDefault="00E273DD">
            <w:pPr>
              <w:rPr>
                <w:sz w:val="24"/>
                <w:szCs w:val="24"/>
              </w:rPr>
            </w:pPr>
            <w:r w:rsidRPr="0093749D">
              <w:rPr>
                <w:sz w:val="24"/>
                <w:szCs w:val="24"/>
              </w:rPr>
              <w:t>None</w:t>
            </w:r>
          </w:p>
        </w:tc>
        <w:tc>
          <w:tcPr>
            <w:tcW w:w="3822" w:type="dxa"/>
          </w:tcPr>
          <w:p w:rsidR="00072550" w:rsidRPr="0093749D" w:rsidRDefault="00072550">
            <w:pPr>
              <w:rPr>
                <w:sz w:val="24"/>
                <w:szCs w:val="24"/>
              </w:rPr>
            </w:pPr>
          </w:p>
        </w:tc>
        <w:tc>
          <w:tcPr>
            <w:tcW w:w="1564" w:type="dxa"/>
          </w:tcPr>
          <w:p w:rsidR="00072550" w:rsidRPr="0093749D" w:rsidRDefault="00072550">
            <w:pPr>
              <w:rPr>
                <w:sz w:val="24"/>
                <w:szCs w:val="24"/>
              </w:rPr>
            </w:pPr>
          </w:p>
        </w:tc>
        <w:tc>
          <w:tcPr>
            <w:tcW w:w="1450" w:type="dxa"/>
          </w:tcPr>
          <w:p w:rsidR="00072550" w:rsidRPr="0093749D" w:rsidRDefault="00072550">
            <w:pPr>
              <w:rPr>
                <w:sz w:val="24"/>
                <w:szCs w:val="24"/>
              </w:rPr>
            </w:pPr>
          </w:p>
        </w:tc>
      </w:tr>
    </w:tbl>
    <w:p w:rsidR="006B2DF8" w:rsidRDefault="006B2DF8"/>
    <w:p w:rsidR="002B3B5C" w:rsidRDefault="002B3B5C">
      <w:pPr>
        <w:rPr>
          <w:b/>
          <w:sz w:val="32"/>
          <w:szCs w:val="32"/>
        </w:rPr>
      </w:pPr>
      <w:r w:rsidRPr="002B3B5C">
        <w:rPr>
          <w:b/>
          <w:sz w:val="32"/>
          <w:szCs w:val="32"/>
        </w:rPr>
        <w:t>5. Sign off and publishing</w:t>
      </w:r>
    </w:p>
    <w:p w:rsidR="002B3B5C" w:rsidRPr="0093749D" w:rsidRDefault="002B3B5C" w:rsidP="00543922">
      <w:pPr>
        <w:rPr>
          <w:sz w:val="28"/>
          <w:szCs w:val="28"/>
        </w:rPr>
      </w:pPr>
      <w:r w:rsidRPr="002B3B5C">
        <w:rPr>
          <w:b/>
          <w:sz w:val="28"/>
          <w:szCs w:val="28"/>
        </w:rPr>
        <w:t>Signed off by</w:t>
      </w:r>
      <w:r w:rsidRPr="002B3B5C">
        <w:rPr>
          <w:sz w:val="28"/>
          <w:szCs w:val="28"/>
        </w:rPr>
        <w:t>:</w:t>
      </w:r>
      <w:r w:rsidRPr="002B3B5C">
        <w:rPr>
          <w:sz w:val="28"/>
          <w:szCs w:val="28"/>
        </w:rPr>
        <w:tab/>
      </w:r>
      <w:r w:rsidRPr="002B3B5C">
        <w:rPr>
          <w:sz w:val="28"/>
          <w:szCs w:val="28"/>
        </w:rPr>
        <w:tab/>
      </w:r>
      <w:r w:rsidR="00DE154D">
        <w:rPr>
          <w:sz w:val="28"/>
          <w:szCs w:val="28"/>
        </w:rPr>
        <w:t>Lisa Bartlett</w:t>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Pr>
          <w:sz w:val="28"/>
          <w:szCs w:val="28"/>
        </w:rPr>
        <w:tab/>
      </w:r>
      <w:r w:rsidRPr="002B3B5C">
        <w:rPr>
          <w:sz w:val="28"/>
          <w:szCs w:val="28"/>
        </w:rPr>
        <w:t>(Divisional Dire</w:t>
      </w:r>
      <w:r w:rsidR="00DE154D">
        <w:rPr>
          <w:sz w:val="28"/>
          <w:szCs w:val="28"/>
        </w:rPr>
        <w:t>ctor, Development</w:t>
      </w:r>
      <w:r w:rsidRPr="002B3B5C">
        <w:rPr>
          <w:sz w:val="28"/>
          <w:szCs w:val="28"/>
        </w:rPr>
        <w:t>)</w:t>
      </w:r>
      <w:r w:rsidR="0093749D">
        <w:rPr>
          <w:sz w:val="28"/>
          <w:szCs w:val="28"/>
        </w:rPr>
        <w:t xml:space="preserve"> </w:t>
      </w:r>
      <w:r w:rsidRPr="002B3B5C">
        <w:rPr>
          <w:b/>
          <w:sz w:val="28"/>
          <w:szCs w:val="28"/>
        </w:rPr>
        <w:t>Date:</w:t>
      </w:r>
      <w:r w:rsidR="00DE154D">
        <w:rPr>
          <w:b/>
          <w:sz w:val="28"/>
          <w:szCs w:val="28"/>
        </w:rPr>
        <w:t>21/10/14</w:t>
      </w:r>
    </w:p>
    <w:sectPr w:rsidR="002B3B5C" w:rsidRPr="0093749D" w:rsidSect="002B3B5C">
      <w:footerReference w:type="default" r:id="rId12"/>
      <w:headerReference w:type="first" r:id="rId13"/>
      <w:footerReference w:type="first" r:id="rId14"/>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40" w:rsidRDefault="00F24140">
      <w:r>
        <w:separator/>
      </w:r>
    </w:p>
    <w:p w:rsidR="00F24140" w:rsidRDefault="00F24140"/>
    <w:p w:rsidR="00F24140" w:rsidRDefault="00F24140"/>
  </w:endnote>
  <w:endnote w:type="continuationSeparator" w:id="0">
    <w:p w:rsidR="00F24140" w:rsidRDefault="00F24140">
      <w:r>
        <w:continuationSeparator/>
      </w:r>
    </w:p>
    <w:p w:rsidR="00F24140" w:rsidRDefault="00F24140"/>
    <w:p w:rsidR="00F24140" w:rsidRDefault="00F24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7A" w:rsidRDefault="001A6E7A">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63255">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63255">
      <w:rPr>
        <w:noProof/>
        <w:snapToGrid w:val="0"/>
      </w:rPr>
      <w:t>4</w:t>
    </w:r>
    <w:r>
      <w:rPr>
        <w:snapToGrid w:val="0"/>
      </w:rPr>
      <w:fldChar w:fldCharType="end"/>
    </w:r>
    <w:r>
      <w:rPr>
        <w:snapToGrid w:val="0"/>
      </w:rPr>
      <w:t xml:space="preserve">          Bath and North East Somerset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7A" w:rsidRDefault="00063255">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40" w:rsidRDefault="00F24140">
      <w:r>
        <w:separator/>
      </w:r>
    </w:p>
    <w:p w:rsidR="00F24140" w:rsidRDefault="00F24140"/>
    <w:p w:rsidR="00F24140" w:rsidRDefault="00F24140"/>
  </w:footnote>
  <w:footnote w:type="continuationSeparator" w:id="0">
    <w:p w:rsidR="00F24140" w:rsidRDefault="00F24140">
      <w:r>
        <w:continuationSeparator/>
      </w:r>
    </w:p>
    <w:p w:rsidR="00F24140" w:rsidRDefault="00F24140"/>
    <w:p w:rsidR="00F24140" w:rsidRDefault="00F241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7A" w:rsidRPr="002E7EF8" w:rsidRDefault="001A6E7A">
    <w:pPr>
      <w:pStyle w:val="Header"/>
      <w:rPr>
        <w:sz w:val="56"/>
        <w:szCs w:val="56"/>
      </w:rPr>
    </w:pPr>
    <w:r>
      <w:rPr>
        <w:sz w:val="56"/>
        <w:szCs w:val="56"/>
      </w:rPr>
      <w:t xml:space="preserve"> </w:t>
    </w:r>
    <w:r w:rsidR="000632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07.25pt">
          <v:imagedata r:id="rId1" o:title="Partnership logo (2) (3)"/>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3">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CF5303"/>
    <w:multiLevelType w:val="hybridMultilevel"/>
    <w:tmpl w:val="0FF2F30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nsid w:val="785760D0"/>
    <w:multiLevelType w:val="hybridMultilevel"/>
    <w:tmpl w:val="C38A1C38"/>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8"/>
  </w:num>
  <w:num w:numId="4">
    <w:abstractNumId w:val="17"/>
  </w:num>
  <w:num w:numId="5">
    <w:abstractNumId w:val="19"/>
  </w:num>
  <w:num w:numId="6">
    <w:abstractNumId w:val="16"/>
  </w:num>
  <w:num w:numId="7">
    <w:abstractNumId w:val="18"/>
  </w:num>
  <w:num w:numId="8">
    <w:abstractNumId w:val="12"/>
  </w:num>
  <w:num w:numId="9">
    <w:abstractNumId w:val="3"/>
  </w:num>
  <w:num w:numId="10">
    <w:abstractNumId w:val="13"/>
  </w:num>
  <w:num w:numId="11">
    <w:abstractNumId w:val="5"/>
  </w:num>
  <w:num w:numId="12">
    <w:abstractNumId w:val="2"/>
  </w:num>
  <w:num w:numId="13">
    <w:abstractNumId w:val="11"/>
  </w:num>
  <w:num w:numId="14">
    <w:abstractNumId w:val="14"/>
  </w:num>
  <w:num w:numId="15">
    <w:abstractNumId w:val="6"/>
  </w:num>
  <w:num w:numId="16">
    <w:abstractNumId w:val="20"/>
  </w:num>
  <w:num w:numId="17">
    <w:abstractNumId w:val="9"/>
  </w:num>
  <w:num w:numId="18">
    <w:abstractNumId w:val="0"/>
  </w:num>
  <w:num w:numId="19">
    <w:abstractNumId w:val="1"/>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00C74"/>
    <w:rsid w:val="000231C6"/>
    <w:rsid w:val="00030142"/>
    <w:rsid w:val="00037611"/>
    <w:rsid w:val="00063255"/>
    <w:rsid w:val="000722BB"/>
    <w:rsid w:val="00072550"/>
    <w:rsid w:val="0009484C"/>
    <w:rsid w:val="000A184F"/>
    <w:rsid w:val="000A35B3"/>
    <w:rsid w:val="000E51CA"/>
    <w:rsid w:val="000E7510"/>
    <w:rsid w:val="0010752D"/>
    <w:rsid w:val="00163C4F"/>
    <w:rsid w:val="00170C98"/>
    <w:rsid w:val="001734E3"/>
    <w:rsid w:val="001A6E7A"/>
    <w:rsid w:val="00220FDA"/>
    <w:rsid w:val="00223636"/>
    <w:rsid w:val="00230F50"/>
    <w:rsid w:val="0023292D"/>
    <w:rsid w:val="0023474C"/>
    <w:rsid w:val="00256E5A"/>
    <w:rsid w:val="00272C3A"/>
    <w:rsid w:val="0028243B"/>
    <w:rsid w:val="002A17F4"/>
    <w:rsid w:val="002B3B5C"/>
    <w:rsid w:val="002B53E5"/>
    <w:rsid w:val="002C0763"/>
    <w:rsid w:val="002C1B75"/>
    <w:rsid w:val="002C4B12"/>
    <w:rsid w:val="002D33D2"/>
    <w:rsid w:val="002E7EF8"/>
    <w:rsid w:val="00307CB7"/>
    <w:rsid w:val="00362518"/>
    <w:rsid w:val="00381E3F"/>
    <w:rsid w:val="00385922"/>
    <w:rsid w:val="00391EBA"/>
    <w:rsid w:val="00391ECF"/>
    <w:rsid w:val="003A0A1D"/>
    <w:rsid w:val="003A3CED"/>
    <w:rsid w:val="003D031B"/>
    <w:rsid w:val="003D5896"/>
    <w:rsid w:val="003D5AE9"/>
    <w:rsid w:val="004001AB"/>
    <w:rsid w:val="00406410"/>
    <w:rsid w:val="0041018B"/>
    <w:rsid w:val="004262F2"/>
    <w:rsid w:val="00431237"/>
    <w:rsid w:val="00446395"/>
    <w:rsid w:val="004860A1"/>
    <w:rsid w:val="004C318C"/>
    <w:rsid w:val="004E418F"/>
    <w:rsid w:val="004F5AC9"/>
    <w:rsid w:val="00500300"/>
    <w:rsid w:val="00532357"/>
    <w:rsid w:val="0053446A"/>
    <w:rsid w:val="005365D0"/>
    <w:rsid w:val="00540581"/>
    <w:rsid w:val="00543922"/>
    <w:rsid w:val="00565025"/>
    <w:rsid w:val="00573640"/>
    <w:rsid w:val="005A4AA2"/>
    <w:rsid w:val="005B678C"/>
    <w:rsid w:val="005D7C5F"/>
    <w:rsid w:val="005E0695"/>
    <w:rsid w:val="005F46E5"/>
    <w:rsid w:val="00603419"/>
    <w:rsid w:val="0062602B"/>
    <w:rsid w:val="00647737"/>
    <w:rsid w:val="006651F7"/>
    <w:rsid w:val="0069285F"/>
    <w:rsid w:val="006B2DF8"/>
    <w:rsid w:val="006D0E8C"/>
    <w:rsid w:val="00713445"/>
    <w:rsid w:val="00724863"/>
    <w:rsid w:val="007269BA"/>
    <w:rsid w:val="007370BE"/>
    <w:rsid w:val="00744837"/>
    <w:rsid w:val="007A2E46"/>
    <w:rsid w:val="007C694D"/>
    <w:rsid w:val="007D076A"/>
    <w:rsid w:val="007E2562"/>
    <w:rsid w:val="008075D3"/>
    <w:rsid w:val="0082170A"/>
    <w:rsid w:val="00842686"/>
    <w:rsid w:val="00844682"/>
    <w:rsid w:val="008519E5"/>
    <w:rsid w:val="00897896"/>
    <w:rsid w:val="008B760D"/>
    <w:rsid w:val="008D13A5"/>
    <w:rsid w:val="009171DA"/>
    <w:rsid w:val="00922FEE"/>
    <w:rsid w:val="0093749D"/>
    <w:rsid w:val="00943384"/>
    <w:rsid w:val="00946D77"/>
    <w:rsid w:val="0096291D"/>
    <w:rsid w:val="009B5A08"/>
    <w:rsid w:val="009C4D42"/>
    <w:rsid w:val="00A125C2"/>
    <w:rsid w:val="00A26DC2"/>
    <w:rsid w:val="00AA1B1B"/>
    <w:rsid w:val="00AB1875"/>
    <w:rsid w:val="00AF1F77"/>
    <w:rsid w:val="00B016B3"/>
    <w:rsid w:val="00B51359"/>
    <w:rsid w:val="00B54BE4"/>
    <w:rsid w:val="00B8565F"/>
    <w:rsid w:val="00B86FBE"/>
    <w:rsid w:val="00B94585"/>
    <w:rsid w:val="00BC0B1B"/>
    <w:rsid w:val="00BC3E3F"/>
    <w:rsid w:val="00BD1C09"/>
    <w:rsid w:val="00C045BC"/>
    <w:rsid w:val="00C14271"/>
    <w:rsid w:val="00C163FE"/>
    <w:rsid w:val="00C42998"/>
    <w:rsid w:val="00C56843"/>
    <w:rsid w:val="00C64D7C"/>
    <w:rsid w:val="00C70B44"/>
    <w:rsid w:val="00CB3CD8"/>
    <w:rsid w:val="00CB514F"/>
    <w:rsid w:val="00CB6572"/>
    <w:rsid w:val="00CE1089"/>
    <w:rsid w:val="00CE7FD5"/>
    <w:rsid w:val="00CF282A"/>
    <w:rsid w:val="00D34F21"/>
    <w:rsid w:val="00D36EE9"/>
    <w:rsid w:val="00D646CD"/>
    <w:rsid w:val="00DE154D"/>
    <w:rsid w:val="00DF63DF"/>
    <w:rsid w:val="00E273DD"/>
    <w:rsid w:val="00E41F95"/>
    <w:rsid w:val="00E4699F"/>
    <w:rsid w:val="00E54AC2"/>
    <w:rsid w:val="00E62C69"/>
    <w:rsid w:val="00E65651"/>
    <w:rsid w:val="00E67B1F"/>
    <w:rsid w:val="00ED5CED"/>
    <w:rsid w:val="00EE1489"/>
    <w:rsid w:val="00EE20BF"/>
    <w:rsid w:val="00EE50F5"/>
    <w:rsid w:val="00EF61CE"/>
    <w:rsid w:val="00F24140"/>
    <w:rsid w:val="00F43499"/>
    <w:rsid w:val="00F509EF"/>
    <w:rsid w:val="00F56F54"/>
    <w:rsid w:val="00F60057"/>
    <w:rsid w:val="00F67000"/>
    <w:rsid w:val="00F93043"/>
    <w:rsid w:val="00FB1656"/>
    <w:rsid w:val="00FB3089"/>
    <w:rsid w:val="00FB5E93"/>
    <w:rsid w:val="00FC4A1E"/>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2343-F035-4C47-9A28-286A244E5D87}">
  <ds:schemaRef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8892E7E4-2609-48C7-817D-8215025E22DF}">
  <ds:schemaRefs>
    <ds:schemaRef ds:uri="http://schemas.microsoft.com/sharepoint/v3/contenttype/forms"/>
  </ds:schemaRefs>
</ds:datastoreItem>
</file>

<file path=customXml/itemProps3.xml><?xml version="1.0" encoding="utf-8"?>
<ds:datastoreItem xmlns:ds="http://schemas.openxmlformats.org/officeDocument/2006/customXml" ds:itemID="{A68AF161-56F1-445B-AC01-662A18FE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2D156F-6421-4358-935E-4F501D85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C97ECD73</Template>
  <TotalTime>1</TotalTime>
  <Pages>4</Pages>
  <Words>863</Words>
  <Characters>4920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EIA toolkit</vt:lpstr>
    </vt:vector>
  </TitlesOfParts>
  <Company>GBC</Company>
  <LinksUpToDate>false</LinksUpToDate>
  <CharactersWithSpaces>5772</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dc:title>
  <dc:creator>robin.daly</dc:creator>
  <cp:lastModifiedBy>Louise Murphy</cp:lastModifiedBy>
  <cp:revision>2</cp:revision>
  <cp:lastPrinted>2008-09-11T08:20:00Z</cp:lastPrinted>
  <dcterms:created xsi:type="dcterms:W3CDTF">2014-11-27T13:46:00Z</dcterms:created>
  <dcterms:modified xsi:type="dcterms:W3CDTF">2014-11-27T13:46:00Z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