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9D" w:rsidRDefault="00B11F0E" w:rsidP="00B7499D">
      <w:pPr>
        <w:pStyle w:val="Heading1"/>
      </w:pPr>
      <w:bookmarkStart w:id="0" w:name="_GoBack"/>
      <w:bookmarkEnd w:id="0"/>
      <w:r>
        <w:t>Special Educational Needs &amp; Disability (</w:t>
      </w:r>
      <w:r w:rsidR="003A403C">
        <w:t>SEND</w:t>
      </w:r>
      <w:r>
        <w:t>)</w:t>
      </w:r>
      <w:r w:rsidR="00E35A28">
        <w:t xml:space="preserve"> reform</w:t>
      </w:r>
      <w:r w:rsidR="008359C1">
        <w:t xml:space="preserve"> in B&amp;NES </w:t>
      </w:r>
      <w:r w:rsidR="00E35A28">
        <w:t>–</w:t>
      </w:r>
      <w:r w:rsidR="002E7169">
        <w:t xml:space="preserve"> </w:t>
      </w:r>
      <w:r w:rsidR="00E35A28">
        <w:t xml:space="preserve">transfer </w:t>
      </w:r>
      <w:r w:rsidR="00DE6D37">
        <w:t xml:space="preserve">(transition) </w:t>
      </w:r>
      <w:r w:rsidR="00E35A28">
        <w:t xml:space="preserve">plan for Statements of SEN and Learning Difficulty Assessments </w:t>
      </w:r>
      <w:r>
        <w:t xml:space="preserve">(LDAs) </w:t>
      </w:r>
      <w:r w:rsidR="00E35A28">
        <w:t xml:space="preserve">to Education, Health &amp; Care </w:t>
      </w:r>
      <w:r>
        <w:t xml:space="preserve">(EHC) </w:t>
      </w:r>
      <w:r w:rsidR="00E35A28">
        <w:t>Plans</w:t>
      </w:r>
    </w:p>
    <w:p w:rsidR="000D3527" w:rsidRDefault="000D3527" w:rsidP="00B11F0E">
      <w:pPr>
        <w:pStyle w:val="Heading3"/>
      </w:pPr>
    </w:p>
    <w:p w:rsidR="00B11F0E" w:rsidRPr="003A403C" w:rsidRDefault="00B11F0E" w:rsidP="00B11F0E">
      <w:pPr>
        <w:pStyle w:val="Heading3"/>
      </w:pPr>
      <w:r>
        <w:t>What is this plan about?</w:t>
      </w:r>
    </w:p>
    <w:p w:rsidR="00DE6D37" w:rsidRDefault="008359C1" w:rsidP="00E35A28">
      <w:r>
        <w:t xml:space="preserve">This document sets out the </w:t>
      </w:r>
      <w:r w:rsidR="00DE6D37">
        <w:t>local (B&amp;NES) arrangements for transition from</w:t>
      </w:r>
      <w:r>
        <w:t xml:space="preserve"> statements of </w:t>
      </w:r>
      <w:r w:rsidR="00302A31">
        <w:t>Special Educational Needs (</w:t>
      </w:r>
      <w:r>
        <w:t>SEN</w:t>
      </w:r>
      <w:r w:rsidR="00302A31">
        <w:t>)</w:t>
      </w:r>
      <w:r>
        <w:t xml:space="preserve"> and </w:t>
      </w:r>
      <w:r w:rsidR="00302A31">
        <w:t>Learning Difficulty Assessments (</w:t>
      </w:r>
      <w:r>
        <w:t>LDAs</w:t>
      </w:r>
      <w:r w:rsidR="00302A31">
        <w:t>)</w:t>
      </w:r>
      <w:r>
        <w:t xml:space="preserve"> to </w:t>
      </w:r>
      <w:r w:rsidR="00302A31">
        <w:t>Education health &amp; Care (</w:t>
      </w:r>
      <w:r>
        <w:t>EHC</w:t>
      </w:r>
      <w:r w:rsidR="00302A31">
        <w:t>)</w:t>
      </w:r>
      <w:r>
        <w:t xml:space="preserve"> Plans. </w:t>
      </w:r>
    </w:p>
    <w:p w:rsidR="00D3219B" w:rsidRDefault="00D3219B" w:rsidP="00E35A28">
      <w:r>
        <w:t>The transfer plan is in line with current information about government requirements. The plan balances a number of factors, in particular:</w:t>
      </w:r>
    </w:p>
    <w:p w:rsidR="00D3219B" w:rsidRDefault="008E59D8" w:rsidP="00D3219B">
      <w:pPr>
        <w:pStyle w:val="ListParagraph"/>
        <w:numPr>
          <w:ilvl w:val="0"/>
          <w:numId w:val="3"/>
        </w:numPr>
      </w:pPr>
      <w:r>
        <w:t>Achieving good quality EHC plans for all children and young people who need them</w:t>
      </w:r>
    </w:p>
    <w:p w:rsidR="00B7499D" w:rsidRDefault="008E59D8" w:rsidP="00B7499D">
      <w:pPr>
        <w:pStyle w:val="ListParagraph"/>
        <w:numPr>
          <w:ilvl w:val="0"/>
          <w:numId w:val="3"/>
        </w:numPr>
      </w:pPr>
      <w:r>
        <w:t>Ensuring</w:t>
      </w:r>
      <w:r w:rsidR="00D3219B">
        <w:t xml:space="preserve"> children and young people benefit from new ways of working in </w:t>
      </w:r>
      <w:r w:rsidR="00302A31">
        <w:t>Special Educational Needs &amp; Disability (</w:t>
      </w:r>
      <w:r w:rsidR="00D3219B">
        <w:t>SEND</w:t>
      </w:r>
      <w:r w:rsidR="00302A31">
        <w:t>)</w:t>
      </w:r>
      <w:r>
        <w:t xml:space="preserve"> reform as soon as possible</w:t>
      </w:r>
    </w:p>
    <w:p w:rsidR="008E59D8" w:rsidRDefault="008E59D8" w:rsidP="00B7499D">
      <w:pPr>
        <w:pStyle w:val="ListParagraph"/>
        <w:numPr>
          <w:ilvl w:val="0"/>
          <w:numId w:val="3"/>
        </w:numPr>
      </w:pPr>
      <w:r>
        <w:t>Meeting the requirements of government guidance on transitional arrangements</w:t>
      </w:r>
      <w:r w:rsidR="00DE6D37">
        <w:t xml:space="preserve"> and EHC needs assessments</w:t>
      </w:r>
    </w:p>
    <w:p w:rsidR="008E59D8" w:rsidRDefault="008E59D8" w:rsidP="00B7499D">
      <w:pPr>
        <w:pStyle w:val="ListParagraph"/>
        <w:numPr>
          <w:ilvl w:val="0"/>
          <w:numId w:val="3"/>
        </w:numPr>
      </w:pPr>
      <w:r>
        <w:t xml:space="preserve">Minimising </w:t>
      </w:r>
      <w:r w:rsidR="00350B61">
        <w:t xml:space="preserve">the </w:t>
      </w:r>
      <w:r>
        <w:t>disruption for schools</w:t>
      </w:r>
      <w:r w:rsidR="00350B61">
        <w:t xml:space="preserve"> and burden for families</w:t>
      </w:r>
      <w:r>
        <w:t xml:space="preserve"> in scheduling</w:t>
      </w:r>
      <w:r w:rsidR="00350B61">
        <w:t xml:space="preserve"> transfer</w:t>
      </w:r>
      <w:r>
        <w:t xml:space="preserve"> reviews</w:t>
      </w:r>
      <w:r w:rsidR="00350B61">
        <w:t>/EHC needs assessments</w:t>
      </w:r>
    </w:p>
    <w:p w:rsidR="008E59D8" w:rsidRDefault="00284130" w:rsidP="00B7499D">
      <w:pPr>
        <w:pStyle w:val="ListParagraph"/>
        <w:numPr>
          <w:ilvl w:val="0"/>
          <w:numId w:val="3"/>
        </w:numPr>
      </w:pPr>
      <w:r>
        <w:t xml:space="preserve">Maximising the </w:t>
      </w:r>
      <w:r w:rsidR="00350B61">
        <w:t>positive impact on</w:t>
      </w:r>
      <w:r>
        <w:t xml:space="preserve"> outcomes for each individual child and young people of</w:t>
      </w:r>
      <w:r w:rsidR="00BD1FEB">
        <w:t xml:space="preserve"> the capacity</w:t>
      </w:r>
      <w:r>
        <w:t xml:space="preserve"> and expertise</w:t>
      </w:r>
      <w:r w:rsidR="00BD1FEB">
        <w:t xml:space="preserve"> in the SEN Team, schools and</w:t>
      </w:r>
      <w:r w:rsidR="00350B61">
        <w:t xml:space="preserve"> other services</w:t>
      </w:r>
      <w:r w:rsidR="0086108D">
        <w:t xml:space="preserve"> in scheduling transfer reviews/EHC needs assessments.</w:t>
      </w:r>
    </w:p>
    <w:p w:rsidR="00284130" w:rsidRDefault="00284130" w:rsidP="00284130">
      <w:r>
        <w:t xml:space="preserve">Our overall aim is to improve life chances and outcomes for disabled children and young people and those with SEN in B&amp;NES, in line with the B&amp;NES principles for SEND reform (set out in our local offer – </w:t>
      </w:r>
      <w:hyperlink r:id="rId8" w:history="1">
        <w:r w:rsidRPr="00A13347">
          <w:rPr>
            <w:rStyle w:val="Hyperlink"/>
          </w:rPr>
          <w:t>www.bathnes.gov.uk/localoffer</w:t>
        </w:r>
      </w:hyperlink>
      <w:r>
        <w:t>). We will take the time necessary to carry out the best possible EHC needs assessment and plan</w:t>
      </w:r>
      <w:r w:rsidR="00350B61">
        <w:t>ning process</w:t>
      </w:r>
      <w:r>
        <w:t xml:space="preserve"> for each individual child and young person while adopting</w:t>
      </w:r>
      <w:r w:rsidR="00350B61">
        <w:t xml:space="preserve"> and promoting</w:t>
      </w:r>
      <w:r>
        <w:t xml:space="preserve"> the principles and </w:t>
      </w:r>
      <w:r w:rsidR="00350B61">
        <w:t xml:space="preserve">key </w:t>
      </w:r>
      <w:r>
        <w:t>elements of good practice for all children and young people as soon as possible.</w:t>
      </w:r>
    </w:p>
    <w:p w:rsidR="00B7499D" w:rsidRDefault="00474ADF" w:rsidP="00B7499D">
      <w:r>
        <w:t xml:space="preserve">This plan is a working document and we welcome comments and questions about it at any stage – email </w:t>
      </w:r>
      <w:hyperlink r:id="rId9" w:history="1">
        <w:r w:rsidRPr="004648EC">
          <w:rPr>
            <w:rStyle w:val="Hyperlink"/>
          </w:rPr>
          <w:t>SENDinof@bathnes.gov.uk</w:t>
        </w:r>
      </w:hyperlink>
      <w:r>
        <w:t xml:space="preserve">.  </w:t>
      </w:r>
      <w:r w:rsidR="00DE6D37">
        <w:t xml:space="preserve">This is the second version of the transfer plan, which has been updated in the light of experience and feedback to date. </w:t>
      </w:r>
    </w:p>
    <w:p w:rsidR="00B11F0E" w:rsidRPr="00B11F0E" w:rsidRDefault="00B11F0E" w:rsidP="00B7499D">
      <w:pPr>
        <w:rPr>
          <w:i/>
        </w:rPr>
      </w:pPr>
      <w:r>
        <w:rPr>
          <w:i/>
        </w:rPr>
        <w:t xml:space="preserve">What does it all mean? For a key to some of the language used in this plan please see </w:t>
      </w:r>
      <w:r w:rsidR="00ED2397">
        <w:rPr>
          <w:i/>
        </w:rPr>
        <w:t xml:space="preserve">page </w:t>
      </w:r>
      <w:r w:rsidR="007E55AA">
        <w:rPr>
          <w:i/>
        </w:rPr>
        <w:t>8</w:t>
      </w:r>
      <w:r>
        <w:rPr>
          <w:i/>
        </w:rPr>
        <w:t xml:space="preserve">. For more information about SEND reform and the changes that are being made, there are some links </w:t>
      </w:r>
      <w:r w:rsidR="00302A31">
        <w:rPr>
          <w:i/>
        </w:rPr>
        <w:t>on page</w:t>
      </w:r>
      <w:r w:rsidR="007E55AA">
        <w:rPr>
          <w:i/>
        </w:rPr>
        <w:t>s</w:t>
      </w:r>
      <w:r w:rsidR="00302A31">
        <w:rPr>
          <w:i/>
        </w:rPr>
        <w:t xml:space="preserve"> </w:t>
      </w:r>
      <w:r w:rsidR="00474ADF">
        <w:rPr>
          <w:i/>
        </w:rPr>
        <w:t>6</w:t>
      </w:r>
      <w:r w:rsidR="007E55AA">
        <w:rPr>
          <w:i/>
        </w:rPr>
        <w:t xml:space="preserve"> and 7</w:t>
      </w:r>
      <w:r w:rsidR="00302A31">
        <w:rPr>
          <w:i/>
        </w:rPr>
        <w:t xml:space="preserve"> </w:t>
      </w:r>
      <w:r>
        <w:rPr>
          <w:i/>
        </w:rPr>
        <w:t>to webpages with more information and contact details to</w:t>
      </w:r>
      <w:r w:rsidR="00302A31">
        <w:rPr>
          <w:i/>
        </w:rPr>
        <w:t xml:space="preserve"> ask any questions you may have as well as giving us your comments.</w:t>
      </w:r>
    </w:p>
    <w:p w:rsidR="000C46ED" w:rsidRPr="005A3FA5" w:rsidRDefault="00302A31" w:rsidP="005A3FA5">
      <w:pPr>
        <w:pStyle w:val="Heading3"/>
      </w:pPr>
      <w:r>
        <w:lastRenderedPageBreak/>
        <w:t>Statutory a</w:t>
      </w:r>
      <w:r w:rsidR="000C46ED">
        <w:t xml:space="preserve">ssessments </w:t>
      </w:r>
      <w:r>
        <w:t xml:space="preserve">&amp; LDAs </w:t>
      </w:r>
      <w:r w:rsidR="000C46ED">
        <w:t>started before 1</w:t>
      </w:r>
      <w:r w:rsidR="000C46ED" w:rsidRPr="000C46ED">
        <w:rPr>
          <w:vertAlign w:val="superscript"/>
        </w:rPr>
        <w:t>st</w:t>
      </w:r>
      <w:r w:rsidR="000C46ED">
        <w:t xml:space="preserve"> Sept 2014</w:t>
      </w:r>
    </w:p>
    <w:p w:rsidR="00E35A28" w:rsidRDefault="00400D12" w:rsidP="00E35A28">
      <w:r>
        <w:t>Statutory</w:t>
      </w:r>
      <w:r w:rsidR="00E35A28">
        <w:t xml:space="preserve"> assessments </w:t>
      </w:r>
      <w:r w:rsidR="00C332CC">
        <w:t xml:space="preserve">for SEN </w:t>
      </w:r>
      <w:r w:rsidR="00474ADF">
        <w:t>started before the law changed</w:t>
      </w:r>
      <w:r w:rsidR="00E35A28">
        <w:t xml:space="preserve"> on 1</w:t>
      </w:r>
      <w:r w:rsidR="00E35A28" w:rsidRPr="00E35A28">
        <w:rPr>
          <w:vertAlign w:val="superscript"/>
        </w:rPr>
        <w:t>st</w:t>
      </w:r>
      <w:r w:rsidR="00E35A28">
        <w:t xml:space="preserve"> Sept 2014 </w:t>
      </w:r>
      <w:r w:rsidR="00474ADF">
        <w:t>are being</w:t>
      </w:r>
      <w:r w:rsidR="00E35A28">
        <w:t xml:space="preserve"> </w:t>
      </w:r>
      <w:r w:rsidR="00DE6D37">
        <w:t xml:space="preserve">or have been </w:t>
      </w:r>
      <w:r w:rsidR="00E35A28">
        <w:t>co</w:t>
      </w:r>
      <w:r w:rsidR="00D3219B">
        <w:t>mpleted</w:t>
      </w:r>
      <w:r w:rsidR="00E35A28">
        <w:t xml:space="preserve"> under the existing legal framework, and lead to a statement of SEN if required. These statements of SEN will then </w:t>
      </w:r>
      <w:r w:rsidR="00446E18">
        <w:t xml:space="preserve">be considered for </w:t>
      </w:r>
      <w:r w:rsidR="00E35A28">
        <w:t>transfer to EHC plans in accordance with this transfer plan.</w:t>
      </w:r>
    </w:p>
    <w:p w:rsidR="00B7499D" w:rsidRDefault="00252A7D" w:rsidP="00B7499D">
      <w:r>
        <w:t>The</w:t>
      </w:r>
      <w:r w:rsidR="00474ADF">
        <w:t xml:space="preserve"> previous framework for LDAs continued</w:t>
      </w:r>
      <w:r>
        <w:t xml:space="preserve"> until 1</w:t>
      </w:r>
      <w:r w:rsidRPr="00252A7D">
        <w:rPr>
          <w:vertAlign w:val="superscript"/>
        </w:rPr>
        <w:t>st</w:t>
      </w:r>
      <w:r>
        <w:t xml:space="preserve"> Sept 2014 and LDAs </w:t>
      </w:r>
      <w:r w:rsidR="002223C7">
        <w:t>started</w:t>
      </w:r>
      <w:r>
        <w:t xml:space="preserve"> </w:t>
      </w:r>
      <w:r w:rsidR="002223C7">
        <w:t xml:space="preserve">or carried out </w:t>
      </w:r>
      <w:r>
        <w:t>before that date will be</w:t>
      </w:r>
      <w:r w:rsidR="00DE6D37">
        <w:t>/have been</w:t>
      </w:r>
      <w:r>
        <w:t xml:space="preserve"> </w:t>
      </w:r>
      <w:r w:rsidR="002223C7">
        <w:t xml:space="preserve">completed and </w:t>
      </w:r>
      <w:r w:rsidR="00DE6D37">
        <w:t>will be</w:t>
      </w:r>
      <w:r w:rsidR="002223C7">
        <w:t xml:space="preserve"> </w:t>
      </w:r>
      <w:r>
        <w:t xml:space="preserve">considered for transfer to an EHC </w:t>
      </w:r>
      <w:r w:rsidR="00446E18">
        <w:t xml:space="preserve">Plan </w:t>
      </w:r>
      <w:r>
        <w:t>in accordance with this transfer plan.</w:t>
      </w:r>
    </w:p>
    <w:p w:rsidR="000C46ED" w:rsidRDefault="00302A31" w:rsidP="000C46ED">
      <w:pPr>
        <w:pStyle w:val="Heading3"/>
      </w:pPr>
      <w:r>
        <w:t>Statutory a</w:t>
      </w:r>
      <w:r w:rsidR="000C46ED">
        <w:t>ssessments and reviews from 1</w:t>
      </w:r>
      <w:r w:rsidR="000C46ED" w:rsidRPr="000C46ED">
        <w:rPr>
          <w:vertAlign w:val="superscript"/>
        </w:rPr>
        <w:t>st</w:t>
      </w:r>
      <w:r w:rsidR="000C46ED">
        <w:t xml:space="preserve"> Sept 2014</w:t>
      </w:r>
      <w:r w:rsidR="003F20E1">
        <w:t xml:space="preserve"> – EHC needs assessments</w:t>
      </w:r>
    </w:p>
    <w:tbl>
      <w:tblPr>
        <w:tblStyle w:val="TableGrid"/>
        <w:tblpPr w:leftFromText="180" w:rightFromText="180" w:vertAnchor="text" w:horzAnchor="margin" w:tblpY="226"/>
        <w:tblW w:w="0" w:type="auto"/>
        <w:tblLook w:val="04A0" w:firstRow="1" w:lastRow="0" w:firstColumn="1" w:lastColumn="0" w:noHBand="0" w:noVBand="1"/>
      </w:tblPr>
      <w:tblGrid>
        <w:gridCol w:w="1414"/>
        <w:gridCol w:w="1414"/>
        <w:gridCol w:w="2828"/>
        <w:gridCol w:w="2829"/>
        <w:gridCol w:w="2828"/>
        <w:gridCol w:w="2829"/>
      </w:tblGrid>
      <w:tr w:rsidR="000D3527" w:rsidRPr="00836FA6" w:rsidTr="000D3527">
        <w:trPr>
          <w:tblHeader/>
        </w:trPr>
        <w:tc>
          <w:tcPr>
            <w:tcW w:w="1414" w:type="dxa"/>
          </w:tcPr>
          <w:p w:rsidR="000D3527" w:rsidRPr="00836FA6" w:rsidRDefault="000D3527" w:rsidP="000D3527">
            <w:pPr>
              <w:rPr>
                <w:b/>
              </w:rPr>
            </w:pPr>
            <w:r w:rsidRPr="00836FA6">
              <w:rPr>
                <w:b/>
              </w:rPr>
              <w:t>Year group on 1</w:t>
            </w:r>
            <w:r w:rsidRPr="00836FA6">
              <w:rPr>
                <w:b/>
                <w:vertAlign w:val="superscript"/>
              </w:rPr>
              <w:t>st</w:t>
            </w:r>
            <w:r w:rsidRPr="00836FA6">
              <w:rPr>
                <w:b/>
              </w:rPr>
              <w:t xml:space="preserve"> Sept 2014</w:t>
            </w:r>
          </w:p>
        </w:tc>
        <w:tc>
          <w:tcPr>
            <w:tcW w:w="1414" w:type="dxa"/>
          </w:tcPr>
          <w:p w:rsidR="000D3527" w:rsidRPr="00836FA6" w:rsidRDefault="000D3527" w:rsidP="000D3527">
            <w:pPr>
              <w:rPr>
                <w:b/>
              </w:rPr>
            </w:pPr>
            <w:r w:rsidRPr="00836FA6">
              <w:rPr>
                <w:b/>
              </w:rPr>
              <w:t>Transfer review in academic year</w:t>
            </w:r>
          </w:p>
        </w:tc>
        <w:tc>
          <w:tcPr>
            <w:tcW w:w="2828" w:type="dxa"/>
            <w:vAlign w:val="bottom"/>
          </w:tcPr>
          <w:p w:rsidR="000D3527" w:rsidRPr="00836FA6" w:rsidRDefault="000D3527" w:rsidP="000D3527">
            <w:pPr>
              <w:jc w:val="center"/>
              <w:rPr>
                <w:b/>
              </w:rPr>
            </w:pPr>
            <w:r w:rsidRPr="00836FA6">
              <w:rPr>
                <w:b/>
              </w:rPr>
              <w:t>Sept 2014 – Aug 2015</w:t>
            </w:r>
          </w:p>
        </w:tc>
        <w:tc>
          <w:tcPr>
            <w:tcW w:w="2829" w:type="dxa"/>
            <w:vAlign w:val="bottom"/>
          </w:tcPr>
          <w:p w:rsidR="000D3527" w:rsidRPr="00836FA6" w:rsidRDefault="000D3527" w:rsidP="000D3527">
            <w:pPr>
              <w:jc w:val="center"/>
              <w:rPr>
                <w:b/>
              </w:rPr>
            </w:pPr>
            <w:r w:rsidRPr="00836FA6">
              <w:rPr>
                <w:b/>
              </w:rPr>
              <w:t>Sept 2015 – Aug 2016</w:t>
            </w:r>
          </w:p>
        </w:tc>
        <w:tc>
          <w:tcPr>
            <w:tcW w:w="2828" w:type="dxa"/>
            <w:vAlign w:val="bottom"/>
          </w:tcPr>
          <w:p w:rsidR="000D3527" w:rsidRPr="00836FA6" w:rsidRDefault="000D3527" w:rsidP="000D3527">
            <w:pPr>
              <w:jc w:val="center"/>
              <w:rPr>
                <w:b/>
              </w:rPr>
            </w:pPr>
            <w:r w:rsidRPr="00836FA6">
              <w:rPr>
                <w:b/>
              </w:rPr>
              <w:t>Sept 2016 – Aug 2017</w:t>
            </w:r>
          </w:p>
        </w:tc>
        <w:tc>
          <w:tcPr>
            <w:tcW w:w="2829" w:type="dxa"/>
            <w:vAlign w:val="bottom"/>
          </w:tcPr>
          <w:p w:rsidR="000D3527" w:rsidRPr="00836FA6" w:rsidRDefault="000D3527" w:rsidP="000D3527">
            <w:pPr>
              <w:jc w:val="center"/>
              <w:rPr>
                <w:b/>
              </w:rPr>
            </w:pPr>
            <w:r w:rsidRPr="00836FA6">
              <w:rPr>
                <w:b/>
              </w:rPr>
              <w:t>Sept 2017 – April 2018</w:t>
            </w:r>
          </w:p>
        </w:tc>
      </w:tr>
      <w:tr w:rsidR="000D3527" w:rsidTr="000D3527">
        <w:trPr>
          <w:cantSplit/>
        </w:trPr>
        <w:tc>
          <w:tcPr>
            <w:tcW w:w="2828" w:type="dxa"/>
            <w:gridSpan w:val="2"/>
            <w:vAlign w:val="center"/>
          </w:tcPr>
          <w:p w:rsidR="000D3527" w:rsidRPr="00836FA6" w:rsidRDefault="000D3527" w:rsidP="000D3527">
            <w:pPr>
              <w:jc w:val="right"/>
              <w:rPr>
                <w:b/>
              </w:rPr>
            </w:pPr>
            <w:r>
              <w:rPr>
                <w:b/>
              </w:rPr>
              <w:t>Pre-school</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Pr>
                <w:b/>
              </w:rPr>
              <w:t>Reception</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D99594" w:themeFill="accent2" w:themeFillTint="99"/>
          </w:tcPr>
          <w:p w:rsidR="000D3527" w:rsidRDefault="000D3527" w:rsidP="000D3527">
            <w:r>
              <w:t>Statement annual review</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Pr>
                <w:b/>
              </w:rPr>
              <w:t xml:space="preserve">Key stage 1 year </w:t>
            </w:r>
            <w:r w:rsidRPr="00836FA6">
              <w:rPr>
                <w:b/>
              </w:rPr>
              <w:t>1</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FFC000"/>
          </w:tcPr>
          <w:p w:rsidR="000D3527" w:rsidRDefault="000D3527" w:rsidP="000D3527">
            <w:r>
              <w:t>Transfer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sidRPr="00836FA6">
              <w:rPr>
                <w:b/>
              </w:rPr>
              <w:t>2</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Pr>
                <w:b/>
              </w:rPr>
              <w:t xml:space="preserve">Key stage 2 year </w:t>
            </w:r>
            <w:r w:rsidRPr="00836FA6">
              <w:rPr>
                <w:b/>
              </w:rPr>
              <w:t>3</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D99594" w:themeFill="accent2" w:themeFillTint="99"/>
          </w:tcPr>
          <w:p w:rsidR="000D3527" w:rsidRDefault="000D3527" w:rsidP="000D3527">
            <w:r>
              <w:t>Statement annual review</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FFC000"/>
          </w:tcPr>
          <w:p w:rsidR="000D3527" w:rsidRDefault="000D3527" w:rsidP="000D3527">
            <w:r>
              <w:t>Transfer review</w:t>
            </w:r>
          </w:p>
        </w:tc>
      </w:tr>
      <w:tr w:rsidR="000D3527" w:rsidTr="000D3527">
        <w:trPr>
          <w:cantSplit/>
        </w:trPr>
        <w:tc>
          <w:tcPr>
            <w:tcW w:w="2828" w:type="dxa"/>
            <w:gridSpan w:val="2"/>
            <w:vAlign w:val="center"/>
          </w:tcPr>
          <w:p w:rsidR="000D3527" w:rsidRPr="00836FA6" w:rsidRDefault="000D3527" w:rsidP="000D3527">
            <w:pPr>
              <w:jc w:val="right"/>
              <w:rPr>
                <w:b/>
              </w:rPr>
            </w:pPr>
            <w:r w:rsidRPr="00836FA6">
              <w:rPr>
                <w:b/>
              </w:rPr>
              <w:t>4</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D99594" w:themeFill="accent2" w:themeFillTint="99"/>
          </w:tcPr>
          <w:p w:rsidR="000D3527" w:rsidRDefault="000D3527" w:rsidP="000D3527">
            <w:r>
              <w:t>Statement annual review</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sidRPr="00836FA6">
              <w:rPr>
                <w:b/>
              </w:rPr>
              <w:t>5</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FFC000"/>
          </w:tcPr>
          <w:p w:rsidR="000D3527" w:rsidRDefault="000D3527" w:rsidP="000D3527">
            <w:r>
              <w:t>Transfer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sidRPr="00836FA6">
              <w:rPr>
                <w:b/>
              </w:rPr>
              <w:t>6</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Pr>
                <w:b/>
              </w:rPr>
              <w:t xml:space="preserve">Key stage 3 year </w:t>
            </w:r>
            <w:r w:rsidRPr="00836FA6">
              <w:rPr>
                <w:b/>
              </w:rPr>
              <w:t>7</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D99594" w:themeFill="accent2" w:themeFillTint="99"/>
          </w:tcPr>
          <w:p w:rsidR="000D3527" w:rsidRDefault="000D3527" w:rsidP="000D3527">
            <w:r>
              <w:t>Statement annual review</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sidRPr="00836FA6">
              <w:rPr>
                <w:b/>
              </w:rPr>
              <w:t>8</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FFC000"/>
          </w:tcPr>
          <w:p w:rsidR="000D3527" w:rsidRDefault="000D3527" w:rsidP="000D3527">
            <w:r>
              <w:t>Transfer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sidRPr="00836FA6">
              <w:rPr>
                <w:b/>
              </w:rPr>
              <w:t>9</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Pr>
                <w:b/>
              </w:rPr>
              <w:lastRenderedPageBreak/>
              <w:t xml:space="preserve">Key stage 4 year </w:t>
            </w:r>
            <w:r w:rsidRPr="00836FA6">
              <w:rPr>
                <w:b/>
              </w:rPr>
              <w:t>10</w:t>
            </w:r>
          </w:p>
        </w:tc>
        <w:tc>
          <w:tcPr>
            <w:tcW w:w="2828" w:type="dxa"/>
            <w:shd w:val="clear" w:color="auto" w:fill="D99594" w:themeFill="accent2" w:themeFillTint="99"/>
          </w:tcPr>
          <w:p w:rsidR="000D3527" w:rsidRDefault="000D3527" w:rsidP="000D3527">
            <w:r>
              <w:t>Statement annual review</w:t>
            </w:r>
          </w:p>
        </w:tc>
        <w:tc>
          <w:tcPr>
            <w:tcW w:w="2829" w:type="dxa"/>
            <w:shd w:val="clear" w:color="auto" w:fill="FFC000"/>
          </w:tcPr>
          <w:p w:rsidR="000D3527" w:rsidRDefault="000D3527" w:rsidP="000D3527">
            <w:r>
              <w:t>Transfer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sidRPr="00836FA6">
              <w:rPr>
                <w:b/>
              </w:rPr>
              <w:t>11</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Pr>
                <w:b/>
              </w:rPr>
              <w:t xml:space="preserve">year </w:t>
            </w:r>
            <w:r w:rsidRPr="00836FA6">
              <w:rPr>
                <w:b/>
              </w:rPr>
              <w:t>12</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r w:rsidR="000D3527" w:rsidTr="000D3527">
        <w:trPr>
          <w:cantSplit/>
        </w:trPr>
        <w:tc>
          <w:tcPr>
            <w:tcW w:w="2828" w:type="dxa"/>
            <w:gridSpan w:val="2"/>
            <w:vAlign w:val="center"/>
          </w:tcPr>
          <w:p w:rsidR="000D3527" w:rsidRPr="00836FA6" w:rsidRDefault="000D3527" w:rsidP="000D3527">
            <w:pPr>
              <w:jc w:val="right"/>
              <w:rPr>
                <w:b/>
              </w:rPr>
            </w:pPr>
            <w:r w:rsidRPr="00836FA6">
              <w:rPr>
                <w:b/>
              </w:rPr>
              <w:t>13 or above</w:t>
            </w:r>
          </w:p>
        </w:tc>
        <w:tc>
          <w:tcPr>
            <w:tcW w:w="2828" w:type="dxa"/>
            <w:shd w:val="clear" w:color="auto" w:fill="FFC000"/>
          </w:tcPr>
          <w:p w:rsidR="000D3527" w:rsidRDefault="000D3527" w:rsidP="000D3527">
            <w:r>
              <w:t>Transfer review</w:t>
            </w:r>
          </w:p>
        </w:tc>
        <w:tc>
          <w:tcPr>
            <w:tcW w:w="2829" w:type="dxa"/>
            <w:shd w:val="clear" w:color="auto" w:fill="92D050"/>
          </w:tcPr>
          <w:p w:rsidR="000D3527" w:rsidRDefault="000D3527" w:rsidP="000D3527">
            <w:r>
              <w:t>EHC Plan annual review</w:t>
            </w:r>
          </w:p>
        </w:tc>
        <w:tc>
          <w:tcPr>
            <w:tcW w:w="2828" w:type="dxa"/>
            <w:shd w:val="clear" w:color="auto" w:fill="92D050"/>
          </w:tcPr>
          <w:p w:rsidR="000D3527" w:rsidRDefault="000D3527" w:rsidP="000D3527">
            <w:r>
              <w:t>EHC Plan annual review</w:t>
            </w:r>
          </w:p>
        </w:tc>
        <w:tc>
          <w:tcPr>
            <w:tcW w:w="2829" w:type="dxa"/>
            <w:shd w:val="clear" w:color="auto" w:fill="92D050"/>
          </w:tcPr>
          <w:p w:rsidR="000D3527" w:rsidRDefault="000D3527" w:rsidP="000D3527">
            <w:r>
              <w:t>EHC Plan annual review</w:t>
            </w:r>
          </w:p>
        </w:tc>
      </w:tr>
    </w:tbl>
    <w:p w:rsidR="000D3527" w:rsidRDefault="000D3527" w:rsidP="00E35A28"/>
    <w:p w:rsidR="000D3527" w:rsidRDefault="000D3527" w:rsidP="00E35A28"/>
    <w:p w:rsidR="000D3527" w:rsidRDefault="000D3527" w:rsidP="00E35A28"/>
    <w:p w:rsidR="00E35A28" w:rsidRDefault="00E35A28" w:rsidP="00E35A28">
      <w:r>
        <w:t>From 1</w:t>
      </w:r>
      <w:r w:rsidRPr="00E35A28">
        <w:rPr>
          <w:vertAlign w:val="superscript"/>
        </w:rPr>
        <w:t>st</w:t>
      </w:r>
      <w:r>
        <w:t xml:space="preserve"> Sept 2014 all new statutory assessments </w:t>
      </w:r>
      <w:r w:rsidR="00252A7D">
        <w:t xml:space="preserve">for SEN </w:t>
      </w:r>
      <w:r>
        <w:t>will be carried ou</w:t>
      </w:r>
      <w:r w:rsidR="00C332CC">
        <w:t xml:space="preserve">t within the new legal framework </w:t>
      </w:r>
      <w:r w:rsidR="003F20E1">
        <w:t xml:space="preserve">as education, health and care (EHC) needs assessments </w:t>
      </w:r>
      <w:r w:rsidR="00C332CC">
        <w:t>and will lead to an EHC Plan if required.</w:t>
      </w:r>
    </w:p>
    <w:p w:rsidR="00B7499D" w:rsidRDefault="00252A7D" w:rsidP="00B7499D">
      <w:r>
        <w:t>From 1</w:t>
      </w:r>
      <w:r w:rsidRPr="00252A7D">
        <w:rPr>
          <w:vertAlign w:val="superscript"/>
        </w:rPr>
        <w:t>st</w:t>
      </w:r>
      <w:r>
        <w:t xml:space="preserve"> Sept 2014 no new LDAs will be </w:t>
      </w:r>
      <w:r w:rsidR="002223C7">
        <w:t>started</w:t>
      </w:r>
      <w:r>
        <w:t>. Annual</w:t>
      </w:r>
      <w:r w:rsidR="000C46ED">
        <w:t xml:space="preserve"> reviews of statements in year 11 will consider whether or not the statement needs to continue as an EHC Plan. </w:t>
      </w:r>
      <w:r w:rsidR="007479B5">
        <w:t xml:space="preserve">Requests for statutory assessment for SEN </w:t>
      </w:r>
      <w:r w:rsidR="003F20E1">
        <w:t xml:space="preserve">(EHC needs assessment) </w:t>
      </w:r>
      <w:r w:rsidR="007479B5">
        <w:t xml:space="preserve">may be made for young people with no statement of SEN </w:t>
      </w:r>
      <w:r w:rsidR="00302A31">
        <w:t>up to age 25</w:t>
      </w:r>
      <w:r w:rsidR="007479B5">
        <w:t xml:space="preserve"> if it is considered likely they need the support of an EHC Plan.</w:t>
      </w:r>
      <w:r w:rsidR="002635D7">
        <w:t xml:space="preserve"> </w:t>
      </w:r>
    </w:p>
    <w:p w:rsidR="000C46ED" w:rsidRPr="005A3FA5" w:rsidRDefault="007479B5" w:rsidP="005A3FA5">
      <w:pPr>
        <w:pStyle w:val="Heading3"/>
      </w:pPr>
      <w:r>
        <w:t xml:space="preserve">Transfer schedule </w:t>
      </w:r>
      <w:r w:rsidR="002223C7">
        <w:t>for statements of SEN</w:t>
      </w:r>
    </w:p>
    <w:p w:rsidR="00E35A28" w:rsidRDefault="00C332CC" w:rsidP="00E35A28">
      <w:r>
        <w:t xml:space="preserve">The government has set a deadline of April 2018 for all statements to </w:t>
      </w:r>
      <w:r w:rsidR="00446E18">
        <w:t xml:space="preserve">be considered for </w:t>
      </w:r>
      <w:r>
        <w:t>transfer to EHC Plans</w:t>
      </w:r>
      <w:r w:rsidR="002223C7">
        <w:t>.</w:t>
      </w:r>
      <w:r w:rsidR="00B7499D">
        <w:t xml:space="preserve"> </w:t>
      </w:r>
      <w:r w:rsidR="007479B5">
        <w:t>It is proposed that tra</w:t>
      </w:r>
      <w:r w:rsidR="00836FA6">
        <w:t xml:space="preserve">nsfer from </w:t>
      </w:r>
      <w:r w:rsidR="003F20E1">
        <w:t xml:space="preserve">a </w:t>
      </w:r>
      <w:r w:rsidR="00836FA6">
        <w:t>statement to a</w:t>
      </w:r>
      <w:r w:rsidR="007479B5">
        <w:t>n EHC Plan will be considered prior to key stage transitions, i.e. for children or young people in academic years 2,</w:t>
      </w:r>
      <w:r w:rsidR="00B7499D">
        <w:t xml:space="preserve"> 6, 9, 11 and 13 as follows:</w:t>
      </w:r>
    </w:p>
    <w:p w:rsidR="007B59D2" w:rsidRDefault="00312663" w:rsidP="00E35A28">
      <w:r w:rsidRPr="007A103E">
        <w:t xml:space="preserve">The schedule shows when we propose to carry out transfer reviews for children and young people according to their year group in their education setting. Reviews are colour coded – </w:t>
      </w:r>
      <w:r w:rsidRPr="007A103E">
        <w:rPr>
          <w:shd w:val="clear" w:color="auto" w:fill="D99594" w:themeFill="accent2" w:themeFillTint="99"/>
        </w:rPr>
        <w:t>red</w:t>
      </w:r>
      <w:r w:rsidRPr="007A103E">
        <w:t xml:space="preserve"> for annual reviews of statements under the existing legal framework, </w:t>
      </w:r>
      <w:r w:rsidRPr="007A103E">
        <w:rPr>
          <w:shd w:val="clear" w:color="auto" w:fill="FFC000"/>
        </w:rPr>
        <w:t xml:space="preserve">orange </w:t>
      </w:r>
      <w:r w:rsidRPr="007A103E">
        <w:t xml:space="preserve">for transfer reviews and </w:t>
      </w:r>
      <w:r w:rsidRPr="007A103E">
        <w:rPr>
          <w:shd w:val="clear" w:color="auto" w:fill="92D050"/>
        </w:rPr>
        <w:t>green</w:t>
      </w:r>
      <w:r w:rsidRPr="007A103E">
        <w:t xml:space="preserve"> for annual reviews of EHC Plans in the new legal framework.</w:t>
      </w:r>
    </w:p>
    <w:p w:rsidR="000677E3" w:rsidRPr="007E55AA" w:rsidRDefault="000677E3" w:rsidP="00E6567A">
      <w:pPr>
        <w:spacing w:before="120"/>
        <w:rPr>
          <w:rFonts w:cs="Arial"/>
          <w:b/>
          <w:szCs w:val="24"/>
        </w:rPr>
      </w:pPr>
      <w:r>
        <w:t>The SEN Team will liaise with education settings about individual ar</w:t>
      </w:r>
      <w:r w:rsidR="00E6567A">
        <w:t>rangements for transfer reviews and detailed arrangements and questions about them should be directed to the team.</w:t>
      </w:r>
      <w:r w:rsidR="007E55AA">
        <w:t xml:space="preserve"> The team can be contacted </w:t>
      </w:r>
      <w:r w:rsidR="007E55AA" w:rsidRPr="007E55AA">
        <w:rPr>
          <w:rFonts w:cs="Arial"/>
          <w:szCs w:val="24"/>
        </w:rPr>
        <w:t xml:space="preserve">on </w:t>
      </w:r>
      <w:r w:rsidR="007E55AA">
        <w:rPr>
          <w:rStyle w:val="Strong"/>
          <w:rFonts w:cs="Arial"/>
          <w:b w:val="0"/>
          <w:color w:val="5B5B5B"/>
          <w:szCs w:val="24"/>
          <w:lang w:val="en"/>
        </w:rPr>
        <w:t xml:space="preserve">01225 394306, or email </w:t>
      </w:r>
      <w:hyperlink r:id="rId10" w:history="1">
        <w:r w:rsidR="002C34CE" w:rsidRPr="004648EC">
          <w:rPr>
            <w:rStyle w:val="Hyperlink"/>
          </w:rPr>
          <w:t>Special_EducationalNeeds@bathnes.gov.uk</w:t>
        </w:r>
      </w:hyperlink>
      <w:r w:rsidR="007E55AA">
        <w:t xml:space="preserve">. </w:t>
      </w:r>
    </w:p>
    <w:p w:rsidR="00446E18" w:rsidRDefault="002223C7" w:rsidP="00446E18">
      <w:pPr>
        <w:pStyle w:val="Heading3"/>
      </w:pPr>
      <w:r>
        <w:t>Statement</w:t>
      </w:r>
      <w:r w:rsidR="00446E18">
        <w:t xml:space="preserve"> annual reviews from 1</w:t>
      </w:r>
      <w:r w:rsidR="00446E18" w:rsidRPr="00446E18">
        <w:rPr>
          <w:vertAlign w:val="superscript"/>
        </w:rPr>
        <w:t>st</w:t>
      </w:r>
      <w:r w:rsidR="00446E18">
        <w:t xml:space="preserve"> September</w:t>
      </w:r>
    </w:p>
    <w:p w:rsidR="008359C1" w:rsidRDefault="008359C1" w:rsidP="008359C1">
      <w:r>
        <w:t>It is proposed that the existing arrangements for annual reviews of statements will continue as previo</w:t>
      </w:r>
      <w:r w:rsidR="008A2507">
        <w:t>usly with the following changes:</w:t>
      </w:r>
    </w:p>
    <w:p w:rsidR="00F645FE" w:rsidRDefault="00F645FE" w:rsidP="008359C1">
      <w:r>
        <w:t>The paperwork for annual review of statements has not been changed</w:t>
      </w:r>
      <w:r w:rsidR="003F20E1">
        <w:t>,</w:t>
      </w:r>
      <w:r>
        <w:t xml:space="preserve"> however as previously we welcome reviews that are carried out in a person-centred way and propose updates to the statement based on this rather the slavishly following the paperwork.</w:t>
      </w:r>
    </w:p>
    <w:p w:rsidR="008A2507" w:rsidRDefault="008A2507" w:rsidP="008359C1">
      <w:r>
        <w:t>Education settings and others involved in annual reviews are asked to work to the following principles:</w:t>
      </w:r>
    </w:p>
    <w:p w:rsidR="008A2507" w:rsidRDefault="008A2507" w:rsidP="008A2507">
      <w:pPr>
        <w:pStyle w:val="ListParagraph"/>
        <w:numPr>
          <w:ilvl w:val="0"/>
          <w:numId w:val="1"/>
        </w:numPr>
      </w:pPr>
      <w:r>
        <w:lastRenderedPageBreak/>
        <w:t>Review processes and meetings should be carried out in a person centred way</w:t>
      </w:r>
    </w:p>
    <w:p w:rsidR="008A2507" w:rsidRDefault="008A2507" w:rsidP="008A2507">
      <w:pPr>
        <w:pStyle w:val="ListParagraph"/>
        <w:numPr>
          <w:ilvl w:val="0"/>
          <w:numId w:val="1"/>
        </w:numPr>
      </w:pPr>
      <w:r>
        <w:t>Every child or young person with a statement, LDA or EHC Plan and their parents should be supported to draw up a good quality, holistic one page profile</w:t>
      </w:r>
    </w:p>
    <w:p w:rsidR="008A2507" w:rsidRDefault="008A2507" w:rsidP="008A2507">
      <w:pPr>
        <w:pStyle w:val="ListParagraph"/>
        <w:numPr>
          <w:ilvl w:val="0"/>
          <w:numId w:val="1"/>
        </w:numPr>
      </w:pPr>
      <w:r>
        <w:t>The team around the child/young person should be clearly identified and roles in supporting the young person and their family clearly agreed</w:t>
      </w:r>
    </w:p>
    <w:p w:rsidR="008A2507" w:rsidRDefault="008A2507" w:rsidP="008A2507">
      <w:pPr>
        <w:pStyle w:val="ListParagraph"/>
        <w:numPr>
          <w:ilvl w:val="0"/>
          <w:numId w:val="1"/>
        </w:numPr>
      </w:pPr>
      <w:r>
        <w:t xml:space="preserve">The lead professional, and key person in the education settings if this person is not the lead professional, should be clearly identified </w:t>
      </w:r>
    </w:p>
    <w:p w:rsidR="008A2507" w:rsidRDefault="008A2507" w:rsidP="008A2507">
      <w:pPr>
        <w:pStyle w:val="ListParagraph"/>
        <w:numPr>
          <w:ilvl w:val="0"/>
          <w:numId w:val="1"/>
        </w:numPr>
      </w:pPr>
      <w:r>
        <w:t xml:space="preserve">A single SEND support plan should be considered to bring together </w:t>
      </w:r>
      <w:r w:rsidR="00B36485">
        <w:t xml:space="preserve">all of </w:t>
      </w:r>
      <w:r>
        <w:t>the support plans for the child/young person into a single, holistic, outcome focused plan</w:t>
      </w:r>
      <w:r w:rsidR="00F645FE">
        <w:t xml:space="preserve"> if this would be beneficial to the child/young person. We have proposed a model SEND support plan – this is not a format to be slavishly followed but can be adapted and personalised to the needs and circumstances of the child/young person, their family and the settings and services working with them.</w:t>
      </w:r>
    </w:p>
    <w:p w:rsidR="008359C1" w:rsidRPr="008359C1" w:rsidRDefault="00B36485" w:rsidP="008359C1">
      <w:r>
        <w:t xml:space="preserve">By </w:t>
      </w:r>
      <w:r w:rsidR="00FA4C24">
        <w:t>working in this way</w:t>
      </w:r>
      <w:r>
        <w:t xml:space="preserve"> all children and young people can start to benefit from the new ways of working in SEND reform before their scheduled transfer review, and the transfer review process will be more straightforward when it takes place.</w:t>
      </w:r>
    </w:p>
    <w:p w:rsidR="00446E18" w:rsidRDefault="00446E18" w:rsidP="00446E18">
      <w:pPr>
        <w:pStyle w:val="Heading3"/>
      </w:pPr>
      <w:r>
        <w:t>Transfer reviews</w:t>
      </w:r>
    </w:p>
    <w:p w:rsidR="00BD306C" w:rsidRDefault="0042363E" w:rsidP="00B36485">
      <w:r>
        <w:t xml:space="preserve">The transfer review process </w:t>
      </w:r>
      <w:r w:rsidR="003F20E1">
        <w:t xml:space="preserve">is the process whereby a statement or LDA is considered for transfer to an EHC Plan. </w:t>
      </w:r>
      <w:r w:rsidR="00BD306C">
        <w:t xml:space="preserve">This process </w:t>
      </w:r>
      <w:r w:rsidR="0086108D">
        <w:t>is</w:t>
      </w:r>
      <w:r w:rsidR="00BD306C">
        <w:t xml:space="preserve"> an EHC needs assessment and will</w:t>
      </w:r>
      <w:r>
        <w:t xml:space="preserve"> build on the </w:t>
      </w:r>
      <w:r w:rsidR="007E5DB5">
        <w:t>existing</w:t>
      </w:r>
      <w:r>
        <w:t xml:space="preserve"> annual review process</w:t>
      </w:r>
      <w:r w:rsidR="00BD306C">
        <w:t xml:space="preserve"> in B&amp;NES</w:t>
      </w:r>
      <w:r>
        <w:t xml:space="preserve">. </w:t>
      </w:r>
    </w:p>
    <w:p w:rsidR="00B36485" w:rsidRDefault="0042363E" w:rsidP="00B36485">
      <w:r>
        <w:t>School</w:t>
      </w:r>
      <w:r w:rsidR="00976502">
        <w:t xml:space="preserve">s should schedule annual review </w:t>
      </w:r>
      <w:r w:rsidR="00481B94">
        <w:t>dates</w:t>
      </w:r>
      <w:r>
        <w:t xml:space="preserve"> </w:t>
      </w:r>
      <w:r w:rsidR="007E5DB5">
        <w:t>as at present</w:t>
      </w:r>
      <w:r w:rsidR="00312663">
        <w:t xml:space="preserve">. </w:t>
      </w:r>
      <w:r>
        <w:t>The SEND lead practitioner, lead professional (and key person in school if not the lead professional) should liaise 6 weeks before the scheduled review date to plan the process. This will work to the principles set out above for annual reviews with the following additions/changes:</w:t>
      </w:r>
    </w:p>
    <w:p w:rsidR="0042363E" w:rsidRDefault="0042363E" w:rsidP="0042363E">
      <w:pPr>
        <w:pStyle w:val="ListParagraph"/>
        <w:numPr>
          <w:ilvl w:val="0"/>
          <w:numId w:val="2"/>
        </w:numPr>
      </w:pPr>
      <w:r>
        <w:t xml:space="preserve">Arrangements must be made to provide information and support to parents and young people </w:t>
      </w:r>
      <w:r w:rsidR="001B77BD">
        <w:t>about</w:t>
      </w:r>
      <w:r>
        <w:t xml:space="preserve"> the transfer review process including information about how any disagreements can be resolved</w:t>
      </w:r>
    </w:p>
    <w:p w:rsidR="00BD306C" w:rsidRDefault="00BD306C" w:rsidP="0042363E">
      <w:pPr>
        <w:pStyle w:val="ListParagraph"/>
        <w:numPr>
          <w:ilvl w:val="0"/>
          <w:numId w:val="2"/>
        </w:numPr>
      </w:pPr>
      <w:r>
        <w:t xml:space="preserve">All existing </w:t>
      </w:r>
      <w:r w:rsidR="005A1793">
        <w:t xml:space="preserve">relevant </w:t>
      </w:r>
      <w:r>
        <w:t>assessment</w:t>
      </w:r>
      <w:r w:rsidR="005A1793">
        <w:t xml:space="preserve">s </w:t>
      </w:r>
      <w:r w:rsidR="0086108D">
        <w:t xml:space="preserve">about the child/young person </w:t>
      </w:r>
      <w:r w:rsidR="005A1793">
        <w:t xml:space="preserve">including but not limited to those </w:t>
      </w:r>
      <w:r>
        <w:t>related to the current statement</w:t>
      </w:r>
      <w:r w:rsidR="005A1793">
        <w:t xml:space="preserve"> and most recent reviews</w:t>
      </w:r>
      <w:r>
        <w:t xml:space="preserve"> or </w:t>
      </w:r>
      <w:r w:rsidR="005A1793">
        <w:t xml:space="preserve">the </w:t>
      </w:r>
      <w:r>
        <w:t xml:space="preserve">LDA </w:t>
      </w:r>
      <w:r w:rsidR="0086108D">
        <w:t>should</w:t>
      </w:r>
      <w:r>
        <w:t xml:space="preserve"> be used to inform the EHC needs assessment</w:t>
      </w:r>
    </w:p>
    <w:p w:rsidR="00BD306C" w:rsidRDefault="00BD306C" w:rsidP="0042363E">
      <w:pPr>
        <w:pStyle w:val="ListParagraph"/>
        <w:numPr>
          <w:ilvl w:val="0"/>
          <w:numId w:val="2"/>
        </w:numPr>
      </w:pPr>
      <w:r>
        <w:t xml:space="preserve">Consideration </w:t>
      </w:r>
      <w:r w:rsidR="0086108D">
        <w:t>should</w:t>
      </w:r>
      <w:r>
        <w:t xml:space="preserve"> be given to what, if any, </w:t>
      </w:r>
      <w:r w:rsidR="005A1793">
        <w:t xml:space="preserve">additional </w:t>
      </w:r>
      <w:r>
        <w:t>or updated assessments and advice may be required. This will be in consultation with parents, young people, education settings, advice givers and other members of the team around the child/young person. This will balance the requirement not to burden the young person or family with unnecessary additional assessments with the need to ensure comprehensive and current evidence is available as part of EHC needs assessment to inform plan</w:t>
      </w:r>
      <w:r w:rsidR="005A1793">
        <w:t>ning</w:t>
      </w:r>
    </w:p>
    <w:p w:rsidR="005A1793" w:rsidRDefault="005A1793" w:rsidP="0042363E">
      <w:pPr>
        <w:pStyle w:val="ListParagraph"/>
        <w:numPr>
          <w:ilvl w:val="0"/>
          <w:numId w:val="2"/>
        </w:numPr>
      </w:pPr>
      <w:r>
        <w:lastRenderedPageBreak/>
        <w:t>A member of the SEN Team will always meet with the parents and young person as part of the transfer review process. This will normally include attendance of the SEND lead practitioner at the annual/transfer review meeting</w:t>
      </w:r>
    </w:p>
    <w:p w:rsidR="0042363E" w:rsidRDefault="0042363E" w:rsidP="0042363E">
      <w:pPr>
        <w:pStyle w:val="ListParagraph"/>
        <w:numPr>
          <w:ilvl w:val="0"/>
          <w:numId w:val="2"/>
        </w:numPr>
      </w:pPr>
      <w:r>
        <w:t>If an EHC Plan is required this will include the one page profile and single holistic, outcome focused support plan.</w:t>
      </w:r>
    </w:p>
    <w:p w:rsidR="00BE494E" w:rsidRDefault="009A1E3B" w:rsidP="00FA4C24">
      <w:r>
        <w:t>The</w:t>
      </w:r>
      <w:r w:rsidR="00FA4C24">
        <w:t xml:space="preserve"> transfer review process </w:t>
      </w:r>
      <w:r w:rsidR="00481B94">
        <w:t>should</w:t>
      </w:r>
      <w:r>
        <w:t xml:space="preserve"> normally</w:t>
      </w:r>
      <w:r w:rsidR="00FA4C24">
        <w:t xml:space="preserve"> start </w:t>
      </w:r>
      <w:r w:rsidR="00481B94">
        <w:t>within 12 months of the previous annual review or statement being issued</w:t>
      </w:r>
      <w:r w:rsidR="00FA4C24">
        <w:t xml:space="preserve">. </w:t>
      </w:r>
      <w:r w:rsidR="00816D0A">
        <w:t xml:space="preserve">However in the first year of transfer reviews, school year 2014-15, government guidance gives greater flexibility to allow time for new staff to be recruited and trained and while we develop the transfer review process. Some transfer reviews due during this school year may therefore be scheduled later than </w:t>
      </w:r>
      <w:r w:rsidR="00481B94">
        <w:t>the date set by the school</w:t>
      </w:r>
      <w:r w:rsidR="00816D0A">
        <w:t>. We will tell parents, young people</w:t>
      </w:r>
      <w:r w:rsidR="00D84FAE">
        <w:t xml:space="preserve"> in</w:t>
      </w:r>
      <w:r w:rsidR="00816D0A">
        <w:t xml:space="preserve"> year 11 </w:t>
      </w:r>
      <w:r w:rsidR="00D84FAE">
        <w:t xml:space="preserve">and above </w:t>
      </w:r>
      <w:r w:rsidR="00816D0A">
        <w:t>and schools when we propose to start each transfer review</w:t>
      </w:r>
      <w:r w:rsidR="00481B94">
        <w:t xml:space="preserve"> and will give notice when we </w:t>
      </w:r>
      <w:r w:rsidR="00D84FAE">
        <w:t xml:space="preserve">propose to </w:t>
      </w:r>
      <w:r w:rsidR="005A1793">
        <w:t xml:space="preserve">carry out the transfer review process later than </w:t>
      </w:r>
      <w:r w:rsidR="00D84FAE">
        <w:t>the review date set by the school</w:t>
      </w:r>
      <w:r w:rsidR="00816D0A">
        <w:t xml:space="preserve">. </w:t>
      </w:r>
    </w:p>
    <w:p w:rsidR="00FA4C24" w:rsidRDefault="00816D0A" w:rsidP="00FA4C24">
      <w:r>
        <w:t xml:space="preserve">We </w:t>
      </w:r>
      <w:r w:rsidR="009A1E3B">
        <w:t>will</w:t>
      </w:r>
      <w:r>
        <w:t xml:space="preserve"> prioritise</w:t>
      </w:r>
      <w:r w:rsidR="00BE494E">
        <w:t xml:space="preserve"> timely</w:t>
      </w:r>
      <w:r>
        <w:t xml:space="preserve"> transfer reviews for the following children and young people:</w:t>
      </w:r>
    </w:p>
    <w:p w:rsidR="00816D0A" w:rsidRDefault="00816D0A" w:rsidP="00816D0A">
      <w:pPr>
        <w:pStyle w:val="ListParagraph"/>
        <w:numPr>
          <w:ilvl w:val="0"/>
          <w:numId w:val="4"/>
        </w:numPr>
      </w:pPr>
      <w:r>
        <w:t>Any child in early years with a statement transferring to school</w:t>
      </w:r>
    </w:p>
    <w:p w:rsidR="00816D0A" w:rsidRDefault="009A1E3B" w:rsidP="00816D0A">
      <w:pPr>
        <w:pStyle w:val="ListParagraph"/>
        <w:numPr>
          <w:ilvl w:val="0"/>
          <w:numId w:val="4"/>
        </w:numPr>
      </w:pPr>
      <w:r>
        <w:t xml:space="preserve">Children </w:t>
      </w:r>
      <w:r w:rsidR="00BE494E">
        <w:t xml:space="preserve">in </w:t>
      </w:r>
      <w:r>
        <w:t>infant schools transferring to a separate junior school</w:t>
      </w:r>
    </w:p>
    <w:p w:rsidR="009A1E3B" w:rsidRDefault="009A1E3B" w:rsidP="00816D0A">
      <w:pPr>
        <w:pStyle w:val="ListParagraph"/>
        <w:numPr>
          <w:ilvl w:val="0"/>
          <w:numId w:val="4"/>
        </w:numPr>
      </w:pPr>
      <w:r>
        <w:t>Children transferring from primary to secondary schools</w:t>
      </w:r>
    </w:p>
    <w:p w:rsidR="009A1E3B" w:rsidRDefault="009A1E3B" w:rsidP="00816D0A">
      <w:pPr>
        <w:pStyle w:val="ListParagraph"/>
        <w:numPr>
          <w:ilvl w:val="0"/>
          <w:numId w:val="4"/>
        </w:numPr>
      </w:pPr>
      <w:r>
        <w:t>Young people transferring from secondary to FE or apprenticeship</w:t>
      </w:r>
    </w:p>
    <w:p w:rsidR="009A1E3B" w:rsidRDefault="009A1E3B" w:rsidP="00816D0A">
      <w:pPr>
        <w:pStyle w:val="ListParagraph"/>
        <w:numPr>
          <w:ilvl w:val="0"/>
          <w:numId w:val="4"/>
        </w:numPr>
      </w:pPr>
      <w:r>
        <w:t>Children who need to transfer between mainstream and special schools (in either direction)</w:t>
      </w:r>
    </w:p>
    <w:p w:rsidR="009A1E3B" w:rsidRDefault="00BE494E" w:rsidP="00816D0A">
      <w:pPr>
        <w:pStyle w:val="ListParagraph"/>
        <w:numPr>
          <w:ilvl w:val="0"/>
          <w:numId w:val="4"/>
        </w:numPr>
      </w:pPr>
      <w:r>
        <w:t>Any other transfer we are required to prioritise by government guidance</w:t>
      </w:r>
      <w:r w:rsidR="009A1E3B">
        <w:t>.</w:t>
      </w:r>
    </w:p>
    <w:p w:rsidR="009A62DD" w:rsidRPr="00B36485" w:rsidRDefault="00481B94" w:rsidP="00481B94">
      <w:r>
        <w:t>This means that transfer reviews for children in year 2 (who are not transferring from infant to junior) and year 9 are</w:t>
      </w:r>
      <w:r w:rsidR="00BE494E">
        <w:t xml:space="preserve"> the</w:t>
      </w:r>
      <w:r>
        <w:t xml:space="preserve"> most likely to be arranged later than the date scheduled by their school during the year 2014-15.</w:t>
      </w:r>
    </w:p>
    <w:p w:rsidR="00446E18" w:rsidRDefault="00446E18" w:rsidP="00446E18">
      <w:pPr>
        <w:pStyle w:val="Heading3"/>
      </w:pPr>
      <w:r>
        <w:t>EHC Plan annual reviews</w:t>
      </w:r>
    </w:p>
    <w:p w:rsidR="001B77BD" w:rsidRDefault="00ED2397" w:rsidP="0042363E">
      <w:r>
        <w:t xml:space="preserve">We have revised </w:t>
      </w:r>
      <w:r w:rsidR="002C34CE">
        <w:t xml:space="preserve">the review </w:t>
      </w:r>
      <w:r>
        <w:t>paperwork for EHC Plan annual reviews</w:t>
      </w:r>
      <w:r w:rsidR="002C34CE">
        <w:t xml:space="preserve"> when these start in the academic year 2015/16</w:t>
      </w:r>
      <w:r>
        <w:t xml:space="preserve">. </w:t>
      </w:r>
      <w:r w:rsidR="001B77BD">
        <w:t xml:space="preserve">EHC Plan annual reviews will build on </w:t>
      </w:r>
      <w:r w:rsidR="007E5DB5">
        <w:t>the existing</w:t>
      </w:r>
      <w:r w:rsidR="001B77BD">
        <w:t xml:space="preserve"> annual review process. Education settings should schedule annual reviews as previously. The lead professional</w:t>
      </w:r>
      <w:r w:rsidR="00BE494E">
        <w:t xml:space="preserve"> </w:t>
      </w:r>
      <w:r w:rsidR="005A1793">
        <w:t>(</w:t>
      </w:r>
      <w:r w:rsidR="00BE494E">
        <w:t>with the key person in school if different</w:t>
      </w:r>
      <w:r w:rsidR="005A1793">
        <w:t>)</w:t>
      </w:r>
      <w:r w:rsidR="001B77BD">
        <w:t xml:space="preserve"> should ensure that the whole of the team around the child/young person is involved in the rev</w:t>
      </w:r>
      <w:r w:rsidR="00BE494E">
        <w:t>iew process. Where the EHC Plan</w:t>
      </w:r>
      <w:r w:rsidR="001B77BD">
        <w:t xml:space="preserve"> includes or links to plans subject to different legal frameworks and review requirements, these must be coordinated with the annual review of the EHC Plan. The review will work to the principles set out above for annual reviews and transfer reviews.</w:t>
      </w:r>
    </w:p>
    <w:p w:rsidR="001B77BD" w:rsidRDefault="001B77BD" w:rsidP="001B77BD">
      <w:pPr>
        <w:pStyle w:val="Heading3"/>
      </w:pPr>
      <w:r>
        <w:lastRenderedPageBreak/>
        <w:t xml:space="preserve">LDAs and EHC Plans in the </w:t>
      </w:r>
      <w:r w:rsidR="007A103E">
        <w:t>Further Education (FE)</w:t>
      </w:r>
      <w:r>
        <w:t xml:space="preserve"> sector</w:t>
      </w:r>
      <w:r w:rsidR="007A103E">
        <w:t xml:space="preserve"> and up to 25</w:t>
      </w:r>
    </w:p>
    <w:p w:rsidR="00BE494E" w:rsidRDefault="00BE494E" w:rsidP="001B77BD">
      <w:r>
        <w:t>Existing LDAs an</w:t>
      </w:r>
      <w:r w:rsidR="007524C1">
        <w:t>d support for young people in further education</w:t>
      </w:r>
      <w:r>
        <w:t xml:space="preserve"> will continue from 1</w:t>
      </w:r>
      <w:r w:rsidRPr="00BE494E">
        <w:rPr>
          <w:vertAlign w:val="superscript"/>
        </w:rPr>
        <w:t>st</w:t>
      </w:r>
      <w:r>
        <w:t xml:space="preserve"> Sept 2014. Where changes to top-up funding are needed, or top-up funding appears to be needed for a student who does not have an LDA or EHC Plan this should be discussed with the SEN T</w:t>
      </w:r>
      <w:r w:rsidR="007524C1">
        <w:t xml:space="preserve">eam. We continue to </w:t>
      </w:r>
      <w:r>
        <w:t xml:space="preserve">have some scope to provide support without a statutory assessment, so that statutory assessment requests will only need to be made when </w:t>
      </w:r>
      <w:r w:rsidR="007524C1">
        <w:t>specialist support through an</w:t>
      </w:r>
      <w:r>
        <w:t xml:space="preserve"> EHC Plan</w:t>
      </w:r>
      <w:r w:rsidR="007524C1">
        <w:t xml:space="preserve"> appears likely to be necessary.</w:t>
      </w:r>
    </w:p>
    <w:p w:rsidR="0086108D" w:rsidRDefault="000D3527" w:rsidP="001B77BD">
      <w:r>
        <w:t>Colleagues</w:t>
      </w:r>
      <w:r w:rsidR="0086108D">
        <w:t xml:space="preserve"> in the Youthconnect service (formerly Connexions and the youth service) and further education settings </w:t>
      </w:r>
      <w:r>
        <w:t xml:space="preserve">are encouraged to advise the SEN Team if any </w:t>
      </w:r>
      <w:r w:rsidR="0086108D">
        <w:t>young pe</w:t>
      </w:r>
      <w:r>
        <w:t xml:space="preserve">rson </w:t>
      </w:r>
      <w:r w:rsidR="0086108D">
        <w:t>currently supported in further education through an LDA appear</w:t>
      </w:r>
      <w:r>
        <w:t>s</w:t>
      </w:r>
      <w:r w:rsidR="0086108D">
        <w:t xml:space="preserve"> to require a transfer review/EHC needs assessment. In addition to this all young pe</w:t>
      </w:r>
      <w:r>
        <w:t>ople with an LDA may request an</w:t>
      </w:r>
      <w:r w:rsidR="0086108D">
        <w:t xml:space="preserve"> EHC needs assessment, and are encouraged to contact the SEN Team directly or through parents or other members of their support team to discuss this if they believe they require the support of an EHC plan.</w:t>
      </w:r>
    </w:p>
    <w:p w:rsidR="005A3FA5" w:rsidRDefault="001B77BD" w:rsidP="005A3FA5">
      <w:r>
        <w:t xml:space="preserve">We are working with the FE sector on the SEND reform and this work will include developing the arrangements for </w:t>
      </w:r>
      <w:r w:rsidR="00D84FAE">
        <w:t xml:space="preserve">statutory assessments and </w:t>
      </w:r>
      <w:r>
        <w:t xml:space="preserve">annual reviews of EHC Plans for young people in FE colleges or other non-school settings post 16. For more detail of the new requirements and how they affect further education please see the further education chapter of the revised draft code of practice. </w:t>
      </w:r>
      <w:r w:rsidR="007A103E">
        <w:t xml:space="preserve">Adult services and other partners are involved in the work on SEND reform to make sure that EHC Plans support young people to achieve stability </w:t>
      </w:r>
      <w:r w:rsidR="009A62DD">
        <w:t xml:space="preserve">and good life outcomes </w:t>
      </w:r>
      <w:r w:rsidR="007A103E">
        <w:t xml:space="preserve">in adulthood including employment, independent living, good health and community participation. </w:t>
      </w:r>
      <w:r>
        <w:t>We will publish more information about</w:t>
      </w:r>
      <w:r w:rsidR="007B59D2">
        <w:t xml:space="preserve"> all of </w:t>
      </w:r>
      <w:r>
        <w:t>these arrangements in B&amp;NES as they are developed.</w:t>
      </w:r>
      <w:r w:rsidR="007A103E">
        <w:t xml:space="preserve"> </w:t>
      </w:r>
    </w:p>
    <w:p w:rsidR="001B77BD" w:rsidRDefault="001B77BD" w:rsidP="005A3FA5">
      <w:pPr>
        <w:pStyle w:val="Heading3"/>
      </w:pPr>
      <w:r>
        <w:t>Information, advice and support for parents and young people</w:t>
      </w:r>
    </w:p>
    <w:p w:rsidR="001B77BD" w:rsidRDefault="002E042F" w:rsidP="001B77BD">
      <w:r>
        <w:t xml:space="preserve">Information about the arrangements to support disabled children and young people, those with SEN and their families in B&amp;NES </w:t>
      </w:r>
      <w:r w:rsidR="00ED2397">
        <w:t>were</w:t>
      </w:r>
      <w:r>
        <w:t xml:space="preserve"> published in the B&amp;NES Local Offer </w:t>
      </w:r>
      <w:r w:rsidR="00ED2397">
        <w:t>on</w:t>
      </w:r>
      <w:r>
        <w:t xml:space="preserve"> 1</w:t>
      </w:r>
      <w:r w:rsidRPr="002E042F">
        <w:rPr>
          <w:vertAlign w:val="superscript"/>
        </w:rPr>
        <w:t>st</w:t>
      </w:r>
      <w:r>
        <w:t xml:space="preserve"> Sept 2014. Arrangements will be made to answer any questions that arise. There is already a lot of information available about local plans for SEND reform as well as the changes nationally – see the web links below for more information.</w:t>
      </w:r>
      <w:r w:rsidR="009A62DD">
        <w:t xml:space="preserve"> The information in the local offer and about the SEND reform locally is being updated constantly as we continue to review the information about services and support in the light of the reform; learn from experience and feedback and develop good practice in EHC needs assessment and planning. </w:t>
      </w:r>
    </w:p>
    <w:p w:rsidR="002E042F" w:rsidRDefault="002E042F" w:rsidP="001B77BD">
      <w:r>
        <w:t xml:space="preserve">The B&amp;NES Parent Partnership Service provides independent support to parents of children and young people with SEN now and will </w:t>
      </w:r>
      <w:r w:rsidR="007524C1">
        <w:t>be able</w:t>
      </w:r>
      <w:r>
        <w:t xml:space="preserve"> to provide independent support with EHC Planning and the transfer process. This service can be contacted at </w:t>
      </w:r>
      <w:hyperlink r:id="rId11" w:history="1">
        <w:r w:rsidR="00B00D7A" w:rsidRPr="00A96A10">
          <w:rPr>
            <w:rStyle w:val="Hyperlink"/>
          </w:rPr>
          <w:t>parent_partnershipservice@bathnes.gov.uk</w:t>
        </w:r>
      </w:hyperlink>
      <w:r w:rsidR="00B00D7A">
        <w:t xml:space="preserve"> or 01225 394382.</w:t>
      </w:r>
    </w:p>
    <w:p w:rsidR="002E042F" w:rsidRDefault="002E042F" w:rsidP="001B77BD">
      <w:r>
        <w:lastRenderedPageBreak/>
        <w:t>The Shout Out advocacy service at Off the Record currently provides an advocacy service for disabled children and young people. From 1</w:t>
      </w:r>
      <w:r w:rsidRPr="002E042F">
        <w:rPr>
          <w:vertAlign w:val="superscript"/>
        </w:rPr>
        <w:t>st</w:t>
      </w:r>
      <w:r>
        <w:t xml:space="preserve"> Sept they will provide an independent advocacy service for young people </w:t>
      </w:r>
      <w:r w:rsidR="007524C1">
        <w:t>from</w:t>
      </w:r>
      <w:r>
        <w:t xml:space="preserve"> their year 11 review</w:t>
      </w:r>
      <w:r w:rsidR="00B00D7A">
        <w:t>s</w:t>
      </w:r>
      <w:r>
        <w:t>. More information will be published about this when these arrangements are completed.</w:t>
      </w:r>
    </w:p>
    <w:p w:rsidR="00E6567A" w:rsidRDefault="00E6567A" w:rsidP="001B77BD">
      <w:r>
        <w:t>Independent Support for parents and young people has also been commissioned by the government from an organisation called KIDS.</w:t>
      </w:r>
    </w:p>
    <w:p w:rsidR="007E55AA" w:rsidRPr="001B77BD" w:rsidRDefault="007E55AA" w:rsidP="001B77BD">
      <w:r>
        <w:t>To find out more about the independent support that is available from any of these services contact the Parent Partnership Service who will be able to provide more information and signpost to the most appropriate service.</w:t>
      </w:r>
    </w:p>
    <w:p w:rsidR="00A17091" w:rsidRDefault="00A17091" w:rsidP="00A17091">
      <w:pPr>
        <w:pStyle w:val="Heading3"/>
      </w:pPr>
      <w:r>
        <w:t>How to find out more and how to comment on this plan</w:t>
      </w:r>
    </w:p>
    <w:p w:rsidR="00A17091" w:rsidRDefault="00A17091" w:rsidP="00A17091">
      <w:r>
        <w:t xml:space="preserve">For more detail of the model and arrangements for delivery of SEND reform in B&amp;NES please see </w:t>
      </w:r>
      <w:r w:rsidR="00302A31">
        <w:t>our</w:t>
      </w:r>
      <w:r>
        <w:t xml:space="preserve"> </w:t>
      </w:r>
      <w:r w:rsidR="00ED2397">
        <w:t>local offer</w:t>
      </w:r>
      <w:r>
        <w:t xml:space="preserve"> (</w:t>
      </w:r>
      <w:hyperlink r:id="rId12" w:history="1">
        <w:r w:rsidR="00ED2397" w:rsidRPr="004648EC">
          <w:rPr>
            <w:rStyle w:val="Hyperlink"/>
          </w:rPr>
          <w:t>www.bathnes.gov.uk/localoffer</w:t>
        </w:r>
      </w:hyperlink>
      <w:r>
        <w:t xml:space="preserve">). </w:t>
      </w:r>
      <w:r w:rsidR="009A62DD">
        <w:t>This page includes a link to our EHC planning information pack with copies of our EHC Plan format, timelines, EHC needs assessment and transfer review paperwork, formats and guidance for advice givers and more.</w:t>
      </w:r>
    </w:p>
    <w:p w:rsidR="00A17091" w:rsidRDefault="00A17091" w:rsidP="00A17091">
      <w:r>
        <w:t xml:space="preserve">For more detail of the new legal framework for SEND please </w:t>
      </w:r>
      <w:r w:rsidR="00302A31">
        <w:t xml:space="preserve">see </w:t>
      </w:r>
      <w:r>
        <w:t xml:space="preserve">the </w:t>
      </w:r>
      <w:r w:rsidR="007524C1">
        <w:t>SEND</w:t>
      </w:r>
      <w:r>
        <w:t xml:space="preserve"> code of practice (</w:t>
      </w:r>
      <w:hyperlink r:id="rId13" w:history="1">
        <w:r w:rsidR="00ED2397" w:rsidRPr="004648EC">
          <w:rPr>
            <w:rStyle w:val="Hyperlink"/>
          </w:rPr>
          <w:t>https://www.gov.uk/government/uploads/system/uploads/attachment_data/file/342440/SEND_Code_of_Practice_approved_by_Parliament_29.07.14.pdf</w:t>
        </w:r>
      </w:hyperlink>
      <w:r>
        <w:t>).</w:t>
      </w:r>
      <w:r w:rsidR="00ED2397">
        <w:t xml:space="preserve"> </w:t>
      </w:r>
    </w:p>
    <w:p w:rsidR="007524C1" w:rsidRDefault="007524C1" w:rsidP="00A17091">
      <w:r>
        <w:t xml:space="preserve">This plan has taken account of the </w:t>
      </w:r>
      <w:r w:rsidR="00ED2397">
        <w:t>government</w:t>
      </w:r>
      <w:r>
        <w:t xml:space="preserve"> guidance on transitional arrangements (</w:t>
      </w:r>
      <w:hyperlink r:id="rId14" w:history="1">
        <w:r w:rsidR="00ED2397" w:rsidRPr="004648EC">
          <w:rPr>
            <w:rStyle w:val="Hyperlink"/>
          </w:rPr>
          <w:t>https://www.gov.uk/government/uploads/system/uploads/attachment_data/file/348591/Transition_to_the_new_0_to_25_special_educational_needs_and_disability_system_statutory_guidance_for_local_authorities.pdf</w:t>
        </w:r>
      </w:hyperlink>
      <w:r>
        <w:t>)</w:t>
      </w:r>
      <w:r w:rsidR="00ED2397">
        <w:t>.</w:t>
      </w:r>
    </w:p>
    <w:p w:rsidR="00A17091" w:rsidRDefault="00A17091" w:rsidP="00A17091">
      <w:r>
        <w:t>For updates on SEND reform in Bath &amp; North East Somerset visit our webpage (</w:t>
      </w:r>
      <w:hyperlink r:id="rId15" w:history="1">
        <w:r w:rsidR="00312663" w:rsidRPr="00636B63">
          <w:rPr>
            <w:rStyle w:val="Hyperlink"/>
          </w:rPr>
          <w:t>www.bathnes.gov.uk/SENDreform</w:t>
        </w:r>
      </w:hyperlink>
      <w:r>
        <w:t xml:space="preserve">) or </w:t>
      </w:r>
      <w:r w:rsidR="00302A31">
        <w:t xml:space="preserve">visit and </w:t>
      </w:r>
      <w:r>
        <w:t>like our Facebook page (</w:t>
      </w:r>
      <w:hyperlink r:id="rId16" w:history="1">
        <w:r w:rsidRPr="00A96A10">
          <w:rPr>
            <w:rStyle w:val="Hyperlink"/>
          </w:rPr>
          <w:t>www.facebook.com/SENDreform</w:t>
        </w:r>
      </w:hyperlink>
      <w:r>
        <w:t>).</w:t>
      </w:r>
    </w:p>
    <w:p w:rsidR="002C34CE" w:rsidRPr="007E55AA" w:rsidRDefault="002C34CE" w:rsidP="002C34CE">
      <w:pPr>
        <w:spacing w:before="120"/>
        <w:rPr>
          <w:rFonts w:cs="Arial"/>
          <w:b/>
          <w:szCs w:val="24"/>
        </w:rPr>
      </w:pPr>
      <w:r>
        <w:t xml:space="preserve">To discuss detailed arrangements for and individual transfer review contact the SEN Team </w:t>
      </w:r>
      <w:r w:rsidRPr="007E55AA">
        <w:rPr>
          <w:rFonts w:cs="Arial"/>
          <w:szCs w:val="24"/>
        </w:rPr>
        <w:t xml:space="preserve">on </w:t>
      </w:r>
      <w:r>
        <w:rPr>
          <w:rStyle w:val="Strong"/>
          <w:rFonts w:cs="Arial"/>
          <w:b w:val="0"/>
          <w:color w:val="5B5B5B"/>
          <w:szCs w:val="24"/>
          <w:lang w:val="en"/>
        </w:rPr>
        <w:t xml:space="preserve">01225 394306, or email </w:t>
      </w:r>
      <w:hyperlink r:id="rId17" w:history="1">
        <w:r w:rsidRPr="004648EC">
          <w:rPr>
            <w:rStyle w:val="Hyperlink"/>
          </w:rPr>
          <w:t>Special_EducationalNeeds@bathnes.gov.uk</w:t>
        </w:r>
      </w:hyperlink>
      <w:r>
        <w:t xml:space="preserve">. </w:t>
      </w:r>
    </w:p>
    <w:p w:rsidR="002C34CE" w:rsidRDefault="002C34CE" w:rsidP="002C34CE">
      <w:r>
        <w:t xml:space="preserve">To find out more about the independent information advice and support available contact the Parent partnership Service on 01225 394382 or email </w:t>
      </w:r>
      <w:hyperlink r:id="rId18" w:history="1">
        <w:r w:rsidRPr="00A96A10">
          <w:rPr>
            <w:rStyle w:val="Hyperlink"/>
          </w:rPr>
          <w:t>parent_partnershipservice@bathnes.gov.uk</w:t>
        </w:r>
      </w:hyperlink>
      <w:r>
        <w:t>.</w:t>
      </w:r>
    </w:p>
    <w:p w:rsidR="008A2507" w:rsidRDefault="00A17091" w:rsidP="00A17091">
      <w:r>
        <w:t xml:space="preserve">We welcome comments on and questions about this transfer </w:t>
      </w:r>
      <w:r w:rsidR="009A62DD">
        <w:t xml:space="preserve">(transition) </w:t>
      </w:r>
      <w:r>
        <w:t xml:space="preserve">plan. Please email </w:t>
      </w:r>
      <w:hyperlink r:id="rId19" w:history="1">
        <w:r w:rsidRPr="00A96A10">
          <w:rPr>
            <w:rStyle w:val="Hyperlink"/>
          </w:rPr>
          <w:t>SEND_info@bathnes.gov.uk</w:t>
        </w:r>
      </w:hyperlink>
      <w:r>
        <w:t xml:space="preserve">. The plan </w:t>
      </w:r>
      <w:r w:rsidR="00ED2397">
        <w:t xml:space="preserve">is a working document and will be implemented flexibly, and </w:t>
      </w:r>
      <w:r w:rsidR="009A62DD">
        <w:t>will</w:t>
      </w:r>
      <w:r w:rsidR="00ED2397">
        <w:t xml:space="preserve"> be updated and improved in the light of experience and any comments or questions received.</w:t>
      </w:r>
      <w:r w:rsidR="009A62DD">
        <w:t xml:space="preserve"> This is the second version of the plan updated in the light of experience and feedback received to date.</w:t>
      </w:r>
    </w:p>
    <w:p w:rsidR="00B11F0E" w:rsidRPr="000D3527" w:rsidRDefault="00B11F0E" w:rsidP="000D3527">
      <w:pPr>
        <w:pStyle w:val="Heading3"/>
      </w:pPr>
      <w:r>
        <w:t>What does it all mean?</w:t>
      </w:r>
      <w:r w:rsidR="000D3527">
        <w:t xml:space="preserve"> </w:t>
      </w:r>
      <w:r w:rsidRPr="00B11F0E">
        <w:rPr>
          <w:i/>
        </w:rPr>
        <w:t>A key to some of the language used in this plan and what it means.</w:t>
      </w:r>
    </w:p>
    <w:p w:rsidR="00B11F0E" w:rsidRDefault="00B11F0E" w:rsidP="00B11F0E">
      <w:r>
        <w:t>SEND = Special Educational Needs and Disability</w:t>
      </w:r>
    </w:p>
    <w:p w:rsidR="00B11F0E" w:rsidRDefault="00B11F0E" w:rsidP="00B11F0E">
      <w:r>
        <w:t>SEND reform = national programme of change to the way disabled children &amp; young people, those with SEN and their families are supported. The law is changing from 1</w:t>
      </w:r>
      <w:r w:rsidRPr="003A403C">
        <w:rPr>
          <w:vertAlign w:val="superscript"/>
        </w:rPr>
        <w:t>st</w:t>
      </w:r>
      <w:r>
        <w:t xml:space="preserve"> Sept 2014, and the new way of working will be phased in by April 2018.</w:t>
      </w:r>
    </w:p>
    <w:p w:rsidR="00302A31" w:rsidRDefault="009A62DD" w:rsidP="00B11F0E">
      <w:r>
        <w:t xml:space="preserve">Statutory assessment/EHC needs assessment </w:t>
      </w:r>
      <w:r w:rsidR="00302A31">
        <w:t>= assessment process in line with the legal framework for SEN leading to a possible statement of SEN (until 1</w:t>
      </w:r>
      <w:r w:rsidR="00302A31" w:rsidRPr="00302A31">
        <w:rPr>
          <w:vertAlign w:val="superscript"/>
        </w:rPr>
        <w:t>st</w:t>
      </w:r>
      <w:r w:rsidR="00302A31">
        <w:t xml:space="preserve"> Sept 2014) or EHC Plan (from 1</w:t>
      </w:r>
      <w:r w:rsidR="00302A31" w:rsidRPr="00302A31">
        <w:rPr>
          <w:vertAlign w:val="superscript"/>
        </w:rPr>
        <w:t>st</w:t>
      </w:r>
      <w:r w:rsidR="00302A31">
        <w:t xml:space="preserve"> Sept 2014)</w:t>
      </w:r>
    </w:p>
    <w:p w:rsidR="00B11F0E" w:rsidRDefault="00B11F0E" w:rsidP="00B11F0E">
      <w:r>
        <w:t>Statement of SEN = plans for special educational provision issued for children &amp; young people with complex SEN under the current legal framework. Statements will no longer be issued from Sept 2014 and will be phased out by April 2018</w:t>
      </w:r>
    </w:p>
    <w:p w:rsidR="00BF7E2F" w:rsidRDefault="00BF7E2F" w:rsidP="00B11F0E">
      <w:r>
        <w:t>Transfer</w:t>
      </w:r>
      <w:r w:rsidR="000D3527">
        <w:t xml:space="preserve"> review – review of a statement and </w:t>
      </w:r>
      <w:r w:rsidR="009A62DD">
        <w:t xml:space="preserve">EHC needs assessment </w:t>
      </w:r>
      <w:r>
        <w:t>to consider transfer to an EHC Plan</w:t>
      </w:r>
    </w:p>
    <w:p w:rsidR="00BF7E2F" w:rsidRDefault="00BF7E2F" w:rsidP="00B11F0E">
      <w:r>
        <w:t>Transitions – transitions take place when children or young people start in pre-school, start school, move between key stages in education or between education settings and when young people leave education or move onto higher education</w:t>
      </w:r>
    </w:p>
    <w:p w:rsidR="00BF7E2F" w:rsidRDefault="00BF7E2F" w:rsidP="00B11F0E">
      <w:r>
        <w:t>Preparing for adulthood – often referred to as transition to adulthood – we should support children to prepare for adulthood from the earliest stages, and their EHC Plans and reviews from year 9 (age 14) will  have a particular focus on this transition</w:t>
      </w:r>
    </w:p>
    <w:p w:rsidR="00B11F0E" w:rsidRDefault="00B11F0E" w:rsidP="00B11F0E">
      <w:r>
        <w:t>LDA = Learning Difficulty Assessment – an assessment of support needed post 16 for young people with a statement of SEN. LDAs will no longer be carried out from Sept 2014 and will be phased out by Sept 2016. Young people with an LDA will be considered for transfer to an EHC Plan</w:t>
      </w:r>
    </w:p>
    <w:p w:rsidR="00B11F0E" w:rsidRDefault="00B11F0E" w:rsidP="00B11F0E">
      <w:r>
        <w:t>EHC Plan = joined up plans for education health and care support that will replace statements of SEN and LDAs between September 2014 and April 2018</w:t>
      </w:r>
    </w:p>
    <w:p w:rsidR="000D3527" w:rsidRDefault="00B11F0E" w:rsidP="000D3527">
      <w:r>
        <w:t>B&amp;NES = Bath &amp; North East Somerset</w:t>
      </w:r>
      <w:r w:rsidR="00302A31">
        <w:t xml:space="preserve"> – the area served by B&amp;NES Council and Clinical Commissioning Group (for health services).</w:t>
      </w:r>
      <w:r w:rsidR="000D3527" w:rsidRPr="000D3527">
        <w:t xml:space="preserve"> </w:t>
      </w:r>
    </w:p>
    <w:p w:rsidR="000D3527" w:rsidRDefault="000D3527" w:rsidP="000D3527"/>
    <w:p w:rsidR="000D3527" w:rsidRDefault="000D3527" w:rsidP="000D3527">
      <w:r>
        <w:t>Charlie Moat, Service Improvement Manager</w:t>
      </w:r>
    </w:p>
    <w:p w:rsidR="00B11F0E" w:rsidRDefault="00637F0F" w:rsidP="00B11F0E">
      <w:hyperlink r:id="rId20" w:history="1">
        <w:r w:rsidR="000D3527" w:rsidRPr="00350B61">
          <w:rPr>
            <w:rStyle w:val="Hyperlink"/>
          </w:rPr>
          <w:t>charlie_moat@bathnes.gov.uk</w:t>
        </w:r>
      </w:hyperlink>
      <w:r w:rsidR="000D3527">
        <w:rPr>
          <w:rStyle w:val="Hyperlink"/>
          <w:u w:val="none"/>
        </w:rPr>
        <w:t xml:space="preserve">, </w:t>
      </w:r>
      <w:r w:rsidR="000D3527" w:rsidRPr="00350B61">
        <w:t>01225</w:t>
      </w:r>
      <w:r w:rsidR="000D3527">
        <w:t xml:space="preserve"> 477663</w:t>
      </w:r>
    </w:p>
    <w:sectPr w:rsidR="00B11F0E" w:rsidSect="000D3527">
      <w:footerReference w:type="default" r:id="rId21"/>
      <w:pgSz w:w="16838" w:h="11906" w:orient="landscape"/>
      <w:pgMar w:top="993" w:right="962"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19B" w:rsidRDefault="00D3219B" w:rsidP="00D3219B">
      <w:pPr>
        <w:spacing w:after="0" w:line="240" w:lineRule="auto"/>
      </w:pPr>
      <w:r>
        <w:separator/>
      </w:r>
    </w:p>
  </w:endnote>
  <w:endnote w:type="continuationSeparator" w:id="0">
    <w:p w:rsidR="00D3219B" w:rsidRDefault="00D3219B" w:rsidP="00D32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9B" w:rsidRDefault="00D3219B">
    <w:pPr>
      <w:pStyle w:val="Footer"/>
    </w:pPr>
    <w:r>
      <w:t>B&amp;NES SEND reform transfer</w:t>
    </w:r>
    <w:r w:rsidR="00DE6D37">
      <w:t xml:space="preserve"> (transition)</w:t>
    </w:r>
    <w:r>
      <w:t xml:space="preserve"> plan</w:t>
    </w:r>
    <w:r>
      <w:ptab w:relativeTo="margin" w:alignment="center" w:leader="none"/>
    </w:r>
    <w:r>
      <w:fldChar w:fldCharType="begin"/>
    </w:r>
    <w:r>
      <w:instrText xml:space="preserve"> PAGE   \* MERGEFORMAT </w:instrText>
    </w:r>
    <w:r>
      <w:fldChar w:fldCharType="separate"/>
    </w:r>
    <w:r w:rsidR="00637F0F">
      <w:rPr>
        <w:noProof/>
      </w:rPr>
      <w:t>1</w:t>
    </w:r>
    <w:r>
      <w:rPr>
        <w:noProof/>
      </w:rPr>
      <w:fldChar w:fldCharType="end"/>
    </w:r>
    <w:r>
      <w:ptab w:relativeTo="margin" w:alignment="right" w:leader="none"/>
    </w:r>
    <w:r w:rsidR="00DE6D37">
      <w:t xml:space="preserve">updated Nov </w:t>
    </w:r>
    <w: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19B" w:rsidRDefault="00D3219B" w:rsidP="00D3219B">
      <w:pPr>
        <w:spacing w:after="0" w:line="240" w:lineRule="auto"/>
      </w:pPr>
      <w:r>
        <w:separator/>
      </w:r>
    </w:p>
  </w:footnote>
  <w:footnote w:type="continuationSeparator" w:id="0">
    <w:p w:rsidR="00D3219B" w:rsidRDefault="00D3219B" w:rsidP="00D321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F5"/>
    <w:multiLevelType w:val="hybridMultilevel"/>
    <w:tmpl w:val="9F5E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82D39"/>
    <w:multiLevelType w:val="hybridMultilevel"/>
    <w:tmpl w:val="3688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C91988"/>
    <w:multiLevelType w:val="hybridMultilevel"/>
    <w:tmpl w:val="4CD6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F0F46"/>
    <w:multiLevelType w:val="hybridMultilevel"/>
    <w:tmpl w:val="370E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28"/>
    <w:rsid w:val="00011FC9"/>
    <w:rsid w:val="000677E3"/>
    <w:rsid w:val="000C46ED"/>
    <w:rsid w:val="000D3527"/>
    <w:rsid w:val="001B77BD"/>
    <w:rsid w:val="002223C7"/>
    <w:rsid w:val="00252A7D"/>
    <w:rsid w:val="002635D7"/>
    <w:rsid w:val="00284130"/>
    <w:rsid w:val="002C34CE"/>
    <w:rsid w:val="002E042F"/>
    <w:rsid w:val="002E7169"/>
    <w:rsid w:val="00302A31"/>
    <w:rsid w:val="00312663"/>
    <w:rsid w:val="00350B61"/>
    <w:rsid w:val="0035598A"/>
    <w:rsid w:val="003A403C"/>
    <w:rsid w:val="003F20E1"/>
    <w:rsid w:val="00400D12"/>
    <w:rsid w:val="0042363E"/>
    <w:rsid w:val="00446E18"/>
    <w:rsid w:val="00474ADF"/>
    <w:rsid w:val="00481B94"/>
    <w:rsid w:val="005A1793"/>
    <w:rsid w:val="005A3FA5"/>
    <w:rsid w:val="00637F0F"/>
    <w:rsid w:val="007479B5"/>
    <w:rsid w:val="007524C1"/>
    <w:rsid w:val="007A103E"/>
    <w:rsid w:val="007B59D2"/>
    <w:rsid w:val="007E55AA"/>
    <w:rsid w:val="007E5DB5"/>
    <w:rsid w:val="00816D0A"/>
    <w:rsid w:val="008359C1"/>
    <w:rsid w:val="00836FA6"/>
    <w:rsid w:val="0086108D"/>
    <w:rsid w:val="008A2507"/>
    <w:rsid w:val="008E59D8"/>
    <w:rsid w:val="00976502"/>
    <w:rsid w:val="009A1E3B"/>
    <w:rsid w:val="009A62DD"/>
    <w:rsid w:val="00A17091"/>
    <w:rsid w:val="00B00D7A"/>
    <w:rsid w:val="00B11F0E"/>
    <w:rsid w:val="00B36485"/>
    <w:rsid w:val="00B7499D"/>
    <w:rsid w:val="00BD1FEB"/>
    <w:rsid w:val="00BD306C"/>
    <w:rsid w:val="00BE494E"/>
    <w:rsid w:val="00BF7E2F"/>
    <w:rsid w:val="00C332CC"/>
    <w:rsid w:val="00D3219B"/>
    <w:rsid w:val="00D84FAE"/>
    <w:rsid w:val="00DA5744"/>
    <w:rsid w:val="00DE6D37"/>
    <w:rsid w:val="00E35A28"/>
    <w:rsid w:val="00E6567A"/>
    <w:rsid w:val="00ED2397"/>
    <w:rsid w:val="00F23B85"/>
    <w:rsid w:val="00F645FE"/>
    <w:rsid w:val="00FA4C24"/>
    <w:rsid w:val="00FA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D7A"/>
    <w:pPr>
      <w:keepNext/>
      <w:keepLines/>
      <w:spacing w:before="480" w:after="12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35598A"/>
    <w:pPr>
      <w:outlineLvl w:val="1"/>
    </w:pPr>
    <w:rPr>
      <w:b/>
      <w:i/>
      <w:sz w:val="28"/>
      <w:szCs w:val="28"/>
    </w:rPr>
  </w:style>
  <w:style w:type="paragraph" w:styleId="Heading3">
    <w:name w:val="heading 3"/>
    <w:basedOn w:val="Normal"/>
    <w:next w:val="Normal"/>
    <w:link w:val="Heading3Char"/>
    <w:uiPriority w:val="9"/>
    <w:unhideWhenUsed/>
    <w:qFormat/>
    <w:rsid w:val="007B59D2"/>
    <w:pPr>
      <w:keepNext/>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7A"/>
    <w:rPr>
      <w:rFonts w:eastAsiaTheme="majorEastAsia" w:cs="Arial"/>
      <w:b/>
      <w:bCs/>
      <w:sz w:val="28"/>
      <w:szCs w:val="28"/>
    </w:rPr>
  </w:style>
  <w:style w:type="character" w:customStyle="1" w:styleId="Heading2Char">
    <w:name w:val="Heading 2 Char"/>
    <w:basedOn w:val="DefaultParagraphFont"/>
    <w:link w:val="Heading2"/>
    <w:uiPriority w:val="9"/>
    <w:rsid w:val="0035598A"/>
    <w:rPr>
      <w:b/>
      <w:i/>
      <w:sz w:val="28"/>
      <w:szCs w:val="28"/>
    </w:rPr>
  </w:style>
  <w:style w:type="character" w:customStyle="1" w:styleId="Heading3Char">
    <w:name w:val="Heading 3 Char"/>
    <w:basedOn w:val="DefaultParagraphFont"/>
    <w:link w:val="Heading3"/>
    <w:uiPriority w:val="9"/>
    <w:rsid w:val="007B59D2"/>
    <w:rPr>
      <w:b/>
    </w:rPr>
  </w:style>
  <w:style w:type="table" w:styleId="TableGrid">
    <w:name w:val="Table Grid"/>
    <w:basedOn w:val="TableNormal"/>
    <w:uiPriority w:val="59"/>
    <w:rsid w:val="0074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9C1"/>
    <w:rPr>
      <w:color w:val="0000FF" w:themeColor="hyperlink"/>
      <w:u w:val="single"/>
    </w:rPr>
  </w:style>
  <w:style w:type="paragraph" w:styleId="ListParagraph">
    <w:name w:val="List Paragraph"/>
    <w:basedOn w:val="Normal"/>
    <w:uiPriority w:val="34"/>
    <w:qFormat/>
    <w:rsid w:val="008A2507"/>
    <w:pPr>
      <w:ind w:left="720"/>
      <w:contextualSpacing/>
    </w:pPr>
  </w:style>
  <w:style w:type="paragraph" w:styleId="Header">
    <w:name w:val="header"/>
    <w:basedOn w:val="Normal"/>
    <w:link w:val="HeaderChar"/>
    <w:uiPriority w:val="99"/>
    <w:unhideWhenUsed/>
    <w:rsid w:val="00D3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9B"/>
  </w:style>
  <w:style w:type="paragraph" w:styleId="Footer">
    <w:name w:val="footer"/>
    <w:basedOn w:val="Normal"/>
    <w:link w:val="FooterChar"/>
    <w:uiPriority w:val="99"/>
    <w:unhideWhenUsed/>
    <w:rsid w:val="00D32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9B"/>
  </w:style>
  <w:style w:type="paragraph" w:styleId="BalloonText">
    <w:name w:val="Balloon Text"/>
    <w:basedOn w:val="Normal"/>
    <w:link w:val="BalloonTextChar"/>
    <w:uiPriority w:val="99"/>
    <w:semiHidden/>
    <w:unhideWhenUsed/>
    <w:rsid w:val="00D32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9B"/>
    <w:rPr>
      <w:rFonts w:ascii="Tahoma" w:hAnsi="Tahoma" w:cs="Tahoma"/>
      <w:sz w:val="16"/>
      <w:szCs w:val="16"/>
    </w:rPr>
  </w:style>
  <w:style w:type="character" w:styleId="FollowedHyperlink">
    <w:name w:val="FollowedHyperlink"/>
    <w:basedOn w:val="DefaultParagraphFont"/>
    <w:uiPriority w:val="99"/>
    <w:semiHidden/>
    <w:unhideWhenUsed/>
    <w:rsid w:val="00312663"/>
    <w:rPr>
      <w:color w:val="800080" w:themeColor="followedHyperlink"/>
      <w:u w:val="single"/>
    </w:rPr>
  </w:style>
  <w:style w:type="character" w:styleId="Strong">
    <w:name w:val="Strong"/>
    <w:basedOn w:val="DefaultParagraphFont"/>
    <w:uiPriority w:val="22"/>
    <w:qFormat/>
    <w:rsid w:val="007E55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D7A"/>
    <w:pPr>
      <w:keepNext/>
      <w:keepLines/>
      <w:spacing w:before="480" w:after="120"/>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35598A"/>
    <w:pPr>
      <w:outlineLvl w:val="1"/>
    </w:pPr>
    <w:rPr>
      <w:b/>
      <w:i/>
      <w:sz w:val="28"/>
      <w:szCs w:val="28"/>
    </w:rPr>
  </w:style>
  <w:style w:type="paragraph" w:styleId="Heading3">
    <w:name w:val="heading 3"/>
    <w:basedOn w:val="Normal"/>
    <w:next w:val="Normal"/>
    <w:link w:val="Heading3Char"/>
    <w:uiPriority w:val="9"/>
    <w:unhideWhenUsed/>
    <w:qFormat/>
    <w:rsid w:val="007B59D2"/>
    <w:pPr>
      <w:keepNext/>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D7A"/>
    <w:rPr>
      <w:rFonts w:eastAsiaTheme="majorEastAsia" w:cs="Arial"/>
      <w:b/>
      <w:bCs/>
      <w:sz w:val="28"/>
      <w:szCs w:val="28"/>
    </w:rPr>
  </w:style>
  <w:style w:type="character" w:customStyle="1" w:styleId="Heading2Char">
    <w:name w:val="Heading 2 Char"/>
    <w:basedOn w:val="DefaultParagraphFont"/>
    <w:link w:val="Heading2"/>
    <w:uiPriority w:val="9"/>
    <w:rsid w:val="0035598A"/>
    <w:rPr>
      <w:b/>
      <w:i/>
      <w:sz w:val="28"/>
      <w:szCs w:val="28"/>
    </w:rPr>
  </w:style>
  <w:style w:type="character" w:customStyle="1" w:styleId="Heading3Char">
    <w:name w:val="Heading 3 Char"/>
    <w:basedOn w:val="DefaultParagraphFont"/>
    <w:link w:val="Heading3"/>
    <w:uiPriority w:val="9"/>
    <w:rsid w:val="007B59D2"/>
    <w:rPr>
      <w:b/>
    </w:rPr>
  </w:style>
  <w:style w:type="table" w:styleId="TableGrid">
    <w:name w:val="Table Grid"/>
    <w:basedOn w:val="TableNormal"/>
    <w:uiPriority w:val="59"/>
    <w:rsid w:val="0074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9C1"/>
    <w:rPr>
      <w:color w:val="0000FF" w:themeColor="hyperlink"/>
      <w:u w:val="single"/>
    </w:rPr>
  </w:style>
  <w:style w:type="paragraph" w:styleId="ListParagraph">
    <w:name w:val="List Paragraph"/>
    <w:basedOn w:val="Normal"/>
    <w:uiPriority w:val="34"/>
    <w:qFormat/>
    <w:rsid w:val="008A2507"/>
    <w:pPr>
      <w:ind w:left="720"/>
      <w:contextualSpacing/>
    </w:pPr>
  </w:style>
  <w:style w:type="paragraph" w:styleId="Header">
    <w:name w:val="header"/>
    <w:basedOn w:val="Normal"/>
    <w:link w:val="HeaderChar"/>
    <w:uiPriority w:val="99"/>
    <w:unhideWhenUsed/>
    <w:rsid w:val="00D32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19B"/>
  </w:style>
  <w:style w:type="paragraph" w:styleId="Footer">
    <w:name w:val="footer"/>
    <w:basedOn w:val="Normal"/>
    <w:link w:val="FooterChar"/>
    <w:uiPriority w:val="99"/>
    <w:unhideWhenUsed/>
    <w:rsid w:val="00D32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19B"/>
  </w:style>
  <w:style w:type="paragraph" w:styleId="BalloonText">
    <w:name w:val="Balloon Text"/>
    <w:basedOn w:val="Normal"/>
    <w:link w:val="BalloonTextChar"/>
    <w:uiPriority w:val="99"/>
    <w:semiHidden/>
    <w:unhideWhenUsed/>
    <w:rsid w:val="00D32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9B"/>
    <w:rPr>
      <w:rFonts w:ascii="Tahoma" w:hAnsi="Tahoma" w:cs="Tahoma"/>
      <w:sz w:val="16"/>
      <w:szCs w:val="16"/>
    </w:rPr>
  </w:style>
  <w:style w:type="character" w:styleId="FollowedHyperlink">
    <w:name w:val="FollowedHyperlink"/>
    <w:basedOn w:val="DefaultParagraphFont"/>
    <w:uiPriority w:val="99"/>
    <w:semiHidden/>
    <w:unhideWhenUsed/>
    <w:rsid w:val="00312663"/>
    <w:rPr>
      <w:color w:val="800080" w:themeColor="followedHyperlink"/>
      <w:u w:val="single"/>
    </w:rPr>
  </w:style>
  <w:style w:type="character" w:styleId="Strong">
    <w:name w:val="Strong"/>
    <w:basedOn w:val="DefaultParagraphFont"/>
    <w:uiPriority w:val="22"/>
    <w:qFormat/>
    <w:rsid w:val="007E5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93023">
      <w:bodyDiv w:val="1"/>
      <w:marLeft w:val="0"/>
      <w:marRight w:val="0"/>
      <w:marTop w:val="0"/>
      <w:marBottom w:val="0"/>
      <w:divBdr>
        <w:top w:val="none" w:sz="0" w:space="0" w:color="auto"/>
        <w:left w:val="none" w:sz="0" w:space="0" w:color="auto"/>
        <w:bottom w:val="none" w:sz="0" w:space="0" w:color="auto"/>
        <w:right w:val="none" w:sz="0" w:space="0" w:color="auto"/>
      </w:divBdr>
      <w:divsChild>
        <w:div w:id="147132413">
          <w:marLeft w:val="0"/>
          <w:marRight w:val="0"/>
          <w:marTop w:val="0"/>
          <w:marBottom w:val="0"/>
          <w:divBdr>
            <w:top w:val="none" w:sz="0" w:space="0" w:color="auto"/>
            <w:left w:val="none" w:sz="0" w:space="0" w:color="auto"/>
            <w:bottom w:val="none" w:sz="0" w:space="0" w:color="auto"/>
            <w:right w:val="none" w:sz="0" w:space="0" w:color="auto"/>
          </w:divBdr>
          <w:divsChild>
            <w:div w:id="2056080269">
              <w:marLeft w:val="0"/>
              <w:marRight w:val="0"/>
              <w:marTop w:val="0"/>
              <w:marBottom w:val="0"/>
              <w:divBdr>
                <w:top w:val="none" w:sz="0" w:space="0" w:color="auto"/>
                <w:left w:val="none" w:sz="0" w:space="0" w:color="auto"/>
                <w:bottom w:val="none" w:sz="0" w:space="0" w:color="auto"/>
                <w:right w:val="none" w:sz="0" w:space="0" w:color="auto"/>
              </w:divBdr>
              <w:divsChild>
                <w:div w:id="1491940973">
                  <w:marLeft w:val="0"/>
                  <w:marRight w:val="0"/>
                  <w:marTop w:val="0"/>
                  <w:marBottom w:val="0"/>
                  <w:divBdr>
                    <w:top w:val="none" w:sz="0" w:space="0" w:color="auto"/>
                    <w:left w:val="none" w:sz="0" w:space="0" w:color="auto"/>
                    <w:bottom w:val="none" w:sz="0" w:space="0" w:color="auto"/>
                    <w:right w:val="none" w:sz="0" w:space="0" w:color="auto"/>
                  </w:divBdr>
                  <w:divsChild>
                    <w:div w:id="1878008870">
                      <w:marLeft w:val="0"/>
                      <w:marRight w:val="0"/>
                      <w:marTop w:val="0"/>
                      <w:marBottom w:val="0"/>
                      <w:divBdr>
                        <w:top w:val="none" w:sz="0" w:space="0" w:color="auto"/>
                        <w:left w:val="none" w:sz="0" w:space="0" w:color="auto"/>
                        <w:bottom w:val="none" w:sz="0" w:space="0" w:color="auto"/>
                        <w:right w:val="none" w:sz="0" w:space="0" w:color="auto"/>
                      </w:divBdr>
                      <w:divsChild>
                        <w:div w:id="1167018319">
                          <w:marLeft w:val="0"/>
                          <w:marRight w:val="0"/>
                          <w:marTop w:val="0"/>
                          <w:marBottom w:val="0"/>
                          <w:divBdr>
                            <w:top w:val="none" w:sz="0" w:space="0" w:color="auto"/>
                            <w:left w:val="none" w:sz="0" w:space="0" w:color="auto"/>
                            <w:bottom w:val="none" w:sz="0" w:space="0" w:color="auto"/>
                            <w:right w:val="none" w:sz="0" w:space="0" w:color="auto"/>
                          </w:divBdr>
                          <w:divsChild>
                            <w:div w:id="450785546">
                              <w:marLeft w:val="300"/>
                              <w:marRight w:val="300"/>
                              <w:marTop w:val="0"/>
                              <w:marBottom w:val="0"/>
                              <w:divBdr>
                                <w:top w:val="none" w:sz="0" w:space="0" w:color="auto"/>
                                <w:left w:val="none" w:sz="0" w:space="0" w:color="auto"/>
                                <w:bottom w:val="none" w:sz="0" w:space="0" w:color="auto"/>
                                <w:right w:val="none" w:sz="0" w:space="0" w:color="auto"/>
                              </w:divBdr>
                              <w:divsChild>
                                <w:div w:id="1457677803">
                                  <w:marLeft w:val="0"/>
                                  <w:marRight w:val="0"/>
                                  <w:marTop w:val="0"/>
                                  <w:marBottom w:val="0"/>
                                  <w:divBdr>
                                    <w:top w:val="none" w:sz="0" w:space="0" w:color="auto"/>
                                    <w:left w:val="none" w:sz="0" w:space="0" w:color="auto"/>
                                    <w:bottom w:val="none" w:sz="0" w:space="0" w:color="auto"/>
                                    <w:right w:val="none" w:sz="0" w:space="0" w:color="auto"/>
                                  </w:divBdr>
                                  <w:divsChild>
                                    <w:div w:id="513031361">
                                      <w:marLeft w:val="0"/>
                                      <w:marRight w:val="0"/>
                                      <w:marTop w:val="0"/>
                                      <w:marBottom w:val="0"/>
                                      <w:divBdr>
                                        <w:top w:val="none" w:sz="0" w:space="0" w:color="auto"/>
                                        <w:left w:val="none" w:sz="0" w:space="0" w:color="auto"/>
                                        <w:bottom w:val="none" w:sz="0" w:space="0" w:color="auto"/>
                                        <w:right w:val="none" w:sz="0" w:space="0" w:color="auto"/>
                                      </w:divBdr>
                                      <w:divsChild>
                                        <w:div w:id="176701145">
                                          <w:marLeft w:val="0"/>
                                          <w:marRight w:val="0"/>
                                          <w:marTop w:val="0"/>
                                          <w:marBottom w:val="0"/>
                                          <w:divBdr>
                                            <w:top w:val="none" w:sz="0" w:space="0" w:color="auto"/>
                                            <w:left w:val="none" w:sz="0" w:space="0" w:color="auto"/>
                                            <w:bottom w:val="none" w:sz="0" w:space="0" w:color="auto"/>
                                            <w:right w:val="none" w:sz="0" w:space="0" w:color="auto"/>
                                          </w:divBdr>
                                          <w:divsChild>
                                            <w:div w:id="1512722938">
                                              <w:marLeft w:val="0"/>
                                              <w:marRight w:val="0"/>
                                              <w:marTop w:val="0"/>
                                              <w:marBottom w:val="0"/>
                                              <w:divBdr>
                                                <w:top w:val="none" w:sz="0" w:space="0" w:color="auto"/>
                                                <w:left w:val="none" w:sz="0" w:space="0" w:color="auto"/>
                                                <w:bottom w:val="none" w:sz="0" w:space="0" w:color="auto"/>
                                                <w:right w:val="none" w:sz="0" w:space="0" w:color="auto"/>
                                              </w:divBdr>
                                              <w:divsChild>
                                                <w:div w:id="2008098402">
                                                  <w:marLeft w:val="0"/>
                                                  <w:marRight w:val="0"/>
                                                  <w:marTop w:val="0"/>
                                                  <w:marBottom w:val="0"/>
                                                  <w:divBdr>
                                                    <w:top w:val="none" w:sz="0" w:space="0" w:color="auto"/>
                                                    <w:left w:val="none" w:sz="0" w:space="0" w:color="auto"/>
                                                    <w:bottom w:val="none" w:sz="0" w:space="0" w:color="auto"/>
                                                    <w:right w:val="none" w:sz="0" w:space="0" w:color="auto"/>
                                                  </w:divBdr>
                                                  <w:divsChild>
                                                    <w:div w:id="407194906">
                                                      <w:marLeft w:val="0"/>
                                                      <w:marRight w:val="0"/>
                                                      <w:marTop w:val="0"/>
                                                      <w:marBottom w:val="0"/>
                                                      <w:divBdr>
                                                        <w:top w:val="none" w:sz="0" w:space="0" w:color="auto"/>
                                                        <w:left w:val="none" w:sz="0" w:space="0" w:color="auto"/>
                                                        <w:bottom w:val="none" w:sz="0" w:space="0" w:color="auto"/>
                                                        <w:right w:val="none" w:sz="0" w:space="0" w:color="auto"/>
                                                      </w:divBdr>
                                                    </w:div>
                                                  </w:divsChild>
                                                </w:div>
                                                <w:div w:id="685785712">
                                                  <w:marLeft w:val="0"/>
                                                  <w:marRight w:val="0"/>
                                                  <w:marTop w:val="0"/>
                                                  <w:marBottom w:val="0"/>
                                                  <w:divBdr>
                                                    <w:top w:val="none" w:sz="0" w:space="0" w:color="auto"/>
                                                    <w:left w:val="none" w:sz="0" w:space="0" w:color="auto"/>
                                                    <w:bottom w:val="none" w:sz="0" w:space="0" w:color="auto"/>
                                                    <w:right w:val="none" w:sz="0" w:space="0" w:color="auto"/>
                                                  </w:divBdr>
                                                  <w:divsChild>
                                                    <w:div w:id="134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nes.gov.uk/localoffer" TargetMode="External"/><Relationship Id="rId13" Type="http://schemas.openxmlformats.org/officeDocument/2006/relationships/hyperlink" Target="https://www.gov.uk/government/uploads/system/uploads/attachment_data/file/342440/SEND_Code_of_Practice_approved_by_Parliament_29.07.14.pdf" TargetMode="External"/><Relationship Id="rId18" Type="http://schemas.openxmlformats.org/officeDocument/2006/relationships/hyperlink" Target="mailto:parent_partnershipservice@bathnes.gov.u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athnes.gov.uk/localoffer" TargetMode="External"/><Relationship Id="rId17" Type="http://schemas.openxmlformats.org/officeDocument/2006/relationships/hyperlink" Target="mailto:Special_EducationalNeeds@bathnes.gov.uk" TargetMode="External"/><Relationship Id="rId2" Type="http://schemas.openxmlformats.org/officeDocument/2006/relationships/styles" Target="styles.xml"/><Relationship Id="rId16" Type="http://schemas.openxmlformats.org/officeDocument/2006/relationships/hyperlink" Target="http://www.facebook.com/SENDreform" TargetMode="External"/><Relationship Id="rId20" Type="http://schemas.openxmlformats.org/officeDocument/2006/relationships/hyperlink" Target="mailto:charlie_moat@bathnes.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rent_partnershipservice@bathnes.gov.uk" TargetMode="External"/><Relationship Id="rId5" Type="http://schemas.openxmlformats.org/officeDocument/2006/relationships/webSettings" Target="webSettings.xml"/><Relationship Id="rId15" Type="http://schemas.openxmlformats.org/officeDocument/2006/relationships/hyperlink" Target="http://www.bathnes.gov.uk/SENDreform" TargetMode="External"/><Relationship Id="rId23" Type="http://schemas.openxmlformats.org/officeDocument/2006/relationships/theme" Target="theme/theme1.xml"/><Relationship Id="rId10" Type="http://schemas.openxmlformats.org/officeDocument/2006/relationships/hyperlink" Target="mailto:Special_EducationalNeeds@bathnes.gov.uk" TargetMode="External"/><Relationship Id="rId19" Type="http://schemas.openxmlformats.org/officeDocument/2006/relationships/hyperlink" Target="mailto:SEND_info@bathnes.gov.uk" TargetMode="External"/><Relationship Id="rId4" Type="http://schemas.openxmlformats.org/officeDocument/2006/relationships/settings" Target="settings.xml"/><Relationship Id="rId9" Type="http://schemas.openxmlformats.org/officeDocument/2006/relationships/hyperlink" Target="mailto:SENDinof@bathnes.gov.uk" TargetMode="External"/><Relationship Id="rId14" Type="http://schemas.openxmlformats.org/officeDocument/2006/relationships/hyperlink" Target="https://www.gov.uk/government/uploads/system/uploads/attachment_data/file/348591/Transition_to_the_new_0_to_25_special_educational_needs_and_disability_system_statutory_guidance_for_local_authoriti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98A7BEA5</Template>
  <TotalTime>0</TotalTime>
  <Pages>7</Pages>
  <Words>3029</Words>
  <Characters>17267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Moat</dc:creator>
  <cp:lastModifiedBy>Rebecca Claridge</cp:lastModifiedBy>
  <cp:revision>2</cp:revision>
  <dcterms:created xsi:type="dcterms:W3CDTF">2014-11-20T12:17:00Z</dcterms:created>
  <dcterms:modified xsi:type="dcterms:W3CDTF">2014-11-20T12:17:00Z</dcterms:modified>
</cp:coreProperties>
</file>