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3BAE2" w14:textId="77777777" w:rsidR="00A0180B" w:rsidRPr="00A0180B" w:rsidRDefault="00A0180B" w:rsidP="00A0180B">
      <w:pPr>
        <w:spacing w:before="120" w:after="120"/>
        <w:jc w:val="center"/>
        <w:rPr>
          <w:rFonts w:ascii="Arial" w:hAnsi="Arial" w:cs="Arial"/>
          <w:b/>
          <w:bCs/>
          <w:color w:val="000000" w:themeColor="text1"/>
          <w:sz w:val="28"/>
          <w:szCs w:val="28"/>
        </w:rPr>
      </w:pPr>
      <w:r w:rsidRPr="00A0180B">
        <w:rPr>
          <w:rFonts w:ascii="Arial" w:hAnsi="Arial" w:cs="Arial"/>
          <w:b/>
          <w:bCs/>
          <w:color w:val="000000" w:themeColor="text1"/>
          <w:sz w:val="28"/>
          <w:szCs w:val="28"/>
        </w:rPr>
        <w:t>GP LARC SERVICE SPECIFICATION 2025/2026</w:t>
      </w:r>
    </w:p>
    <w:p w14:paraId="2D351C56" w14:textId="3A693B3D" w:rsidR="00A266F3" w:rsidRPr="00193D8A" w:rsidRDefault="00A266F3" w:rsidP="00F365CE"/>
    <w:p w14:paraId="40AC6E6A" w14:textId="310421ED" w:rsidR="001F6F51" w:rsidRDefault="001F6F51" w:rsidP="001F6F51">
      <w:pPr>
        <w:pStyle w:val="ReportHeading"/>
        <w:jc w:val="both"/>
        <w:rPr>
          <w:sz w:val="24"/>
          <w:szCs w:val="24"/>
        </w:rPr>
      </w:pPr>
      <w:r>
        <w:rPr>
          <w:sz w:val="24"/>
          <w:szCs w:val="24"/>
        </w:rPr>
        <w:t>INTRODUCTION</w:t>
      </w:r>
    </w:p>
    <w:p w14:paraId="7E0A9370" w14:textId="6C53E70F" w:rsidR="004746E1" w:rsidRPr="004746E1" w:rsidRDefault="004746E1" w:rsidP="001F6F51">
      <w:pPr>
        <w:pStyle w:val="Para-1stLevel"/>
        <w:rPr>
          <w:sz w:val="24"/>
          <w:szCs w:val="24"/>
        </w:rPr>
      </w:pPr>
      <w:r>
        <w:rPr>
          <w:iCs/>
          <w:sz w:val="24"/>
          <w:szCs w:val="24"/>
        </w:rPr>
        <w:t xml:space="preserve">Bath and North East Somerset (B&amp;NES) Council aims to improve and protect the health and wellbeing of its local communities with an emphasis on reducing health inequalities. This service specification sets out the requirements for the provision of a Public Health Long Acting Reversible Contraception (LARC) Service, </w:t>
      </w:r>
      <w:r w:rsidR="003E2A7C">
        <w:rPr>
          <w:iCs/>
          <w:sz w:val="24"/>
          <w:szCs w:val="24"/>
        </w:rPr>
        <w:t>offering the fitting, monitoring, checking and removal</w:t>
      </w:r>
      <w:r>
        <w:rPr>
          <w:iCs/>
          <w:sz w:val="24"/>
          <w:szCs w:val="24"/>
        </w:rPr>
        <w:t xml:space="preserve"> of Intrauterine Contraceptive Devices (IUDs/IUSs) and Subdermal Implants (SDIs)</w:t>
      </w:r>
    </w:p>
    <w:p w14:paraId="624C44CA" w14:textId="616CE99D" w:rsidR="00F803DE" w:rsidRPr="00C35FCE" w:rsidRDefault="00F803DE" w:rsidP="001F6F51">
      <w:pPr>
        <w:pStyle w:val="Para-1stLevel"/>
        <w:rPr>
          <w:sz w:val="24"/>
          <w:szCs w:val="24"/>
        </w:rPr>
      </w:pPr>
      <w:r>
        <w:rPr>
          <w:iCs/>
          <w:sz w:val="24"/>
          <w:szCs w:val="24"/>
        </w:rPr>
        <w:t xml:space="preserve">LARC provides women with a highly reliable form of contraception and means of preventing unintended pregnancy. The effectiveness of barrier contraceptive methods and </w:t>
      </w:r>
      <w:r w:rsidR="00C35FCE">
        <w:rPr>
          <w:iCs/>
          <w:sz w:val="24"/>
          <w:szCs w:val="24"/>
        </w:rPr>
        <w:t>oral contraceptive pills is determinant on correct and consistent usage. A benefit of LARC is that it does not depend on daily concordance. The initial fitting of an IUD/IUS can provide effective contraceptive protection for up to five years depending on the device fitted; the initial fitting of an SDI can provide effective contraceptive protection for up to three years</w:t>
      </w:r>
    </w:p>
    <w:p w14:paraId="1B27566D" w14:textId="74A441C5" w:rsidR="00C35FCE" w:rsidRDefault="00C35FCE" w:rsidP="00C35FCE">
      <w:pPr>
        <w:pStyle w:val="Para-1stLevel"/>
        <w:rPr>
          <w:iCs/>
          <w:sz w:val="24"/>
          <w:szCs w:val="24"/>
        </w:rPr>
      </w:pPr>
      <w:r>
        <w:rPr>
          <w:iCs/>
          <w:sz w:val="24"/>
          <w:szCs w:val="24"/>
        </w:rPr>
        <w:t xml:space="preserve">LARC is cost effective </w:t>
      </w:r>
      <w:r w:rsidR="00A47DAA">
        <w:rPr>
          <w:iCs/>
          <w:sz w:val="24"/>
          <w:szCs w:val="24"/>
        </w:rPr>
        <w:t xml:space="preserve">against other contraceptive methods </w:t>
      </w:r>
      <w:r>
        <w:rPr>
          <w:iCs/>
          <w:sz w:val="24"/>
          <w:szCs w:val="24"/>
        </w:rPr>
        <w:t xml:space="preserve">with all </w:t>
      </w:r>
      <w:r w:rsidRPr="00C35FCE">
        <w:rPr>
          <w:iCs/>
          <w:sz w:val="24"/>
          <w:szCs w:val="24"/>
        </w:rPr>
        <w:t>currently available LARC methods more cost effective</w:t>
      </w:r>
      <w:r>
        <w:rPr>
          <w:iCs/>
          <w:sz w:val="24"/>
          <w:szCs w:val="24"/>
        </w:rPr>
        <w:t xml:space="preserve"> </w:t>
      </w:r>
      <w:r w:rsidRPr="00C35FCE">
        <w:rPr>
          <w:iCs/>
          <w:sz w:val="24"/>
          <w:szCs w:val="24"/>
        </w:rPr>
        <w:t xml:space="preserve">than the contraceptive pill at one year of use, with </w:t>
      </w:r>
      <w:r>
        <w:rPr>
          <w:iCs/>
          <w:sz w:val="24"/>
          <w:szCs w:val="24"/>
        </w:rPr>
        <w:t>IUDs/IUSs and SDIs being more cost effective than injectable contraceptives (NICE 2014)</w:t>
      </w:r>
    </w:p>
    <w:p w14:paraId="7446C86E" w14:textId="52341A25" w:rsidR="00A266F3" w:rsidRPr="00A266F3" w:rsidRDefault="00A266F3" w:rsidP="00A266F3">
      <w:pPr>
        <w:pStyle w:val="Para-1stLevel"/>
        <w:rPr>
          <w:iCs/>
          <w:sz w:val="24"/>
          <w:szCs w:val="24"/>
        </w:rPr>
      </w:pPr>
      <w:r w:rsidRPr="00A266F3">
        <w:rPr>
          <w:iCs/>
          <w:sz w:val="24"/>
          <w:szCs w:val="24"/>
        </w:rPr>
        <w:t xml:space="preserve">The total rate of </w:t>
      </w:r>
      <w:r>
        <w:rPr>
          <w:iCs/>
          <w:sz w:val="24"/>
          <w:szCs w:val="24"/>
        </w:rPr>
        <w:t xml:space="preserve">LARC </w:t>
      </w:r>
      <w:r w:rsidRPr="00A266F3">
        <w:rPr>
          <w:iCs/>
          <w:sz w:val="24"/>
          <w:szCs w:val="24"/>
        </w:rPr>
        <w:t>(excluding injections) prescribed in primary care, specialist and non-specialist SHS per 1,000 women aged 15 to 44 years living in Bath and North East Somerset was 64.9 in 2021, higher than the rate of 41.8 per 1,000 women in England. The rate prescribed in primary care was 56.5 in Bath and North East Somerset, higher than the rate</w:t>
      </w:r>
      <w:r>
        <w:rPr>
          <w:iCs/>
          <w:sz w:val="24"/>
          <w:szCs w:val="24"/>
        </w:rPr>
        <w:t xml:space="preserve"> </w:t>
      </w:r>
      <w:r w:rsidRPr="00A266F3">
        <w:rPr>
          <w:iCs/>
          <w:sz w:val="24"/>
          <w:szCs w:val="24"/>
        </w:rPr>
        <w:t>of 25.7 in England. The rate prescribed in the other settings</w:t>
      </w:r>
      <w:r>
        <w:rPr>
          <w:iCs/>
          <w:sz w:val="24"/>
          <w:szCs w:val="24"/>
        </w:rPr>
        <w:t xml:space="preserve"> </w:t>
      </w:r>
      <w:r w:rsidRPr="00A266F3">
        <w:rPr>
          <w:iCs/>
          <w:sz w:val="24"/>
          <w:szCs w:val="24"/>
        </w:rPr>
        <w:t>was 8.3 in Bath and North East Somerset, lower than the rate of 16.1 in England.</w:t>
      </w:r>
    </w:p>
    <w:p w14:paraId="6DE532CB" w14:textId="77777777" w:rsidR="00A266F3" w:rsidRPr="00A266F3" w:rsidRDefault="00A266F3" w:rsidP="00A266F3">
      <w:pPr>
        <w:pStyle w:val="Para-1stLevel"/>
        <w:rPr>
          <w:iCs/>
          <w:sz w:val="24"/>
          <w:szCs w:val="24"/>
        </w:rPr>
      </w:pPr>
      <w:r w:rsidRPr="00A266F3">
        <w:rPr>
          <w:iCs/>
          <w:sz w:val="24"/>
          <w:szCs w:val="24"/>
        </w:rPr>
        <w:t>The total abortion rate per 1,000 women aged 15 to 44 years in 2021 was 11.8 in Bath and North East Somerset, lower than the England rate of 19.2 per 1,000. Of those women under 25 years who had an abortion in 2021, the proportion who had had a previous abortion was 21.2%, lower than 29.7% in England.</w:t>
      </w:r>
    </w:p>
    <w:p w14:paraId="0CDA7D13" w14:textId="6CB11657" w:rsidR="00A266F3" w:rsidRPr="00A266F3" w:rsidRDefault="00A266F3" w:rsidP="00A266F3">
      <w:pPr>
        <w:pStyle w:val="Para-1stLevel"/>
        <w:rPr>
          <w:iCs/>
          <w:sz w:val="24"/>
          <w:szCs w:val="24"/>
        </w:rPr>
      </w:pPr>
      <w:r w:rsidRPr="00A266F3">
        <w:rPr>
          <w:iCs/>
          <w:sz w:val="24"/>
          <w:szCs w:val="24"/>
        </w:rPr>
        <w:t xml:space="preserve">In 2021, the conception rate for under-18s in Bath and North East Somerset was 8.7 per 1,000 </w:t>
      </w:r>
      <w:r>
        <w:rPr>
          <w:iCs/>
          <w:sz w:val="24"/>
          <w:szCs w:val="24"/>
        </w:rPr>
        <w:t>women</w:t>
      </w:r>
      <w:r w:rsidRPr="00A266F3">
        <w:rPr>
          <w:iCs/>
          <w:sz w:val="24"/>
          <w:szCs w:val="24"/>
        </w:rPr>
        <w:t xml:space="preserve"> aged 15 to 17 years, better than the rate of 13.1 in England.</w:t>
      </w:r>
    </w:p>
    <w:p w14:paraId="5E9AB70C" w14:textId="376DC37E" w:rsidR="001F6F51" w:rsidRDefault="00A266F3" w:rsidP="00F937D2">
      <w:pPr>
        <w:pStyle w:val="Para-1stLevel"/>
        <w:rPr>
          <w:iCs/>
          <w:sz w:val="24"/>
          <w:szCs w:val="24"/>
        </w:rPr>
      </w:pPr>
      <w:r>
        <w:rPr>
          <w:iCs/>
          <w:sz w:val="24"/>
          <w:szCs w:val="24"/>
        </w:rPr>
        <w:t xml:space="preserve">In 2022/23 general practices in B&amp;NES fitted </w:t>
      </w:r>
      <w:r w:rsidR="00171CF7">
        <w:rPr>
          <w:iCs/>
          <w:sz w:val="24"/>
          <w:szCs w:val="24"/>
        </w:rPr>
        <w:t>a total of 1,727 IUDs, IUSs and SDIs, removing a total of 1,177 IUDs, IUSs and SDIs</w:t>
      </w:r>
    </w:p>
    <w:p w14:paraId="08F17FA9" w14:textId="0E4E4B1B" w:rsidR="00193D8A" w:rsidRDefault="00193D8A" w:rsidP="00193D8A">
      <w:pPr>
        <w:pStyle w:val="Para-1stLevel"/>
        <w:numPr>
          <w:ilvl w:val="0"/>
          <w:numId w:val="0"/>
        </w:numPr>
        <w:ind w:left="858"/>
        <w:rPr>
          <w:iCs/>
          <w:sz w:val="24"/>
          <w:szCs w:val="24"/>
        </w:rPr>
      </w:pPr>
    </w:p>
    <w:p w14:paraId="6CA3F9A3" w14:textId="77777777" w:rsidR="00193D8A" w:rsidRPr="00F937D2" w:rsidRDefault="00193D8A" w:rsidP="00F365CE">
      <w:pPr>
        <w:pStyle w:val="Para-1stLevel"/>
        <w:numPr>
          <w:ilvl w:val="0"/>
          <w:numId w:val="0"/>
        </w:numPr>
        <w:ind w:left="858"/>
        <w:rPr>
          <w:iCs/>
          <w:sz w:val="24"/>
          <w:szCs w:val="24"/>
        </w:rPr>
      </w:pPr>
    </w:p>
    <w:p w14:paraId="5DE364C5" w14:textId="64BAF3C4" w:rsidR="00681A47" w:rsidRDefault="00F8097E" w:rsidP="001F6F51">
      <w:pPr>
        <w:pStyle w:val="ReportHeading"/>
        <w:jc w:val="both"/>
        <w:rPr>
          <w:sz w:val="24"/>
          <w:szCs w:val="24"/>
        </w:rPr>
      </w:pPr>
      <w:r>
        <w:rPr>
          <w:sz w:val="24"/>
          <w:szCs w:val="24"/>
        </w:rPr>
        <w:t>S</w:t>
      </w:r>
      <w:r w:rsidR="00681A47">
        <w:rPr>
          <w:sz w:val="24"/>
          <w:szCs w:val="24"/>
        </w:rPr>
        <w:t>COPE OF S</w:t>
      </w:r>
      <w:r>
        <w:rPr>
          <w:sz w:val="24"/>
          <w:szCs w:val="24"/>
        </w:rPr>
        <w:t>ERVICE</w:t>
      </w:r>
    </w:p>
    <w:p w14:paraId="3A5D6CE2" w14:textId="4EDE1C47" w:rsidR="00681A47" w:rsidRPr="00171CF7" w:rsidRDefault="00681A47" w:rsidP="00681A47">
      <w:pPr>
        <w:pStyle w:val="Para-1stLevel"/>
        <w:rPr>
          <w:b/>
          <w:bCs/>
          <w:iCs/>
          <w:sz w:val="24"/>
          <w:szCs w:val="24"/>
        </w:rPr>
      </w:pPr>
      <w:r w:rsidRPr="00171CF7">
        <w:rPr>
          <w:b/>
          <w:bCs/>
          <w:iCs/>
          <w:sz w:val="24"/>
          <w:szCs w:val="24"/>
        </w:rPr>
        <w:t>Service aims</w:t>
      </w:r>
    </w:p>
    <w:p w14:paraId="6408DAE6" w14:textId="77777777" w:rsidR="00681A47" w:rsidRPr="00681A47" w:rsidRDefault="00681A47" w:rsidP="00155AF5">
      <w:pPr>
        <w:pStyle w:val="Para-1stLevel"/>
        <w:numPr>
          <w:ilvl w:val="1"/>
          <w:numId w:val="4"/>
        </w:numPr>
        <w:rPr>
          <w:iCs/>
          <w:sz w:val="24"/>
          <w:szCs w:val="24"/>
        </w:rPr>
      </w:pPr>
      <w:r w:rsidRPr="00681A47">
        <w:rPr>
          <w:iCs/>
          <w:sz w:val="24"/>
          <w:szCs w:val="24"/>
        </w:rPr>
        <w:t>Provide and increase access to LARC across B&amp;NES</w:t>
      </w:r>
    </w:p>
    <w:p w14:paraId="42C29574" w14:textId="77777777" w:rsidR="00681A47" w:rsidRPr="00681A47" w:rsidRDefault="00681A47" w:rsidP="00155AF5">
      <w:pPr>
        <w:pStyle w:val="Para-1stLevel"/>
        <w:numPr>
          <w:ilvl w:val="1"/>
          <w:numId w:val="4"/>
        </w:numPr>
        <w:rPr>
          <w:iCs/>
          <w:sz w:val="24"/>
          <w:szCs w:val="24"/>
        </w:rPr>
      </w:pPr>
      <w:r w:rsidRPr="00681A47">
        <w:rPr>
          <w:iCs/>
          <w:sz w:val="24"/>
          <w:szCs w:val="24"/>
        </w:rPr>
        <w:t>Increase the uptake and ongoing usage of LARC across B&amp;NES</w:t>
      </w:r>
    </w:p>
    <w:p w14:paraId="6839BD55" w14:textId="77777777" w:rsidR="00681A47" w:rsidRDefault="00681A47" w:rsidP="00155AF5">
      <w:pPr>
        <w:pStyle w:val="Para-1stLevel"/>
        <w:numPr>
          <w:ilvl w:val="1"/>
          <w:numId w:val="4"/>
        </w:numPr>
        <w:rPr>
          <w:iCs/>
          <w:sz w:val="24"/>
          <w:szCs w:val="24"/>
        </w:rPr>
      </w:pPr>
      <w:r>
        <w:rPr>
          <w:iCs/>
          <w:sz w:val="24"/>
          <w:szCs w:val="24"/>
        </w:rPr>
        <w:t>Provide high quality information and advice on the full range of contraceptive methods available to women</w:t>
      </w:r>
    </w:p>
    <w:p w14:paraId="0A215141" w14:textId="77777777" w:rsidR="00681A47" w:rsidRPr="00EE5637" w:rsidRDefault="00681A47" w:rsidP="00155AF5">
      <w:pPr>
        <w:pStyle w:val="Para-1stLevel"/>
        <w:numPr>
          <w:ilvl w:val="1"/>
          <w:numId w:val="4"/>
        </w:numPr>
        <w:rPr>
          <w:iCs/>
          <w:sz w:val="24"/>
          <w:szCs w:val="24"/>
        </w:rPr>
      </w:pPr>
      <w:r>
        <w:rPr>
          <w:iCs/>
          <w:sz w:val="24"/>
          <w:szCs w:val="24"/>
        </w:rPr>
        <w:t>Increase</w:t>
      </w:r>
      <w:r w:rsidRPr="00EE5637">
        <w:rPr>
          <w:iCs/>
          <w:sz w:val="24"/>
          <w:szCs w:val="24"/>
        </w:rPr>
        <w:t xml:space="preserve"> the availability of post-coital IUD fitting for emergency contraception</w:t>
      </w:r>
    </w:p>
    <w:p w14:paraId="3B36E941" w14:textId="77777777" w:rsidR="00681A47" w:rsidRDefault="00681A47" w:rsidP="00155AF5">
      <w:pPr>
        <w:pStyle w:val="Para-1stLevel"/>
        <w:numPr>
          <w:ilvl w:val="1"/>
          <w:numId w:val="4"/>
        </w:numPr>
        <w:rPr>
          <w:iCs/>
          <w:sz w:val="24"/>
          <w:szCs w:val="24"/>
        </w:rPr>
      </w:pPr>
      <w:r>
        <w:rPr>
          <w:iCs/>
          <w:sz w:val="24"/>
          <w:szCs w:val="24"/>
        </w:rPr>
        <w:t>Assess women’s risk of poor sexual and reproductive health and provide referral to wider services where appropriate</w:t>
      </w:r>
    </w:p>
    <w:p w14:paraId="425C43F4" w14:textId="2CB802D6" w:rsidR="00681A47" w:rsidRPr="00681A47" w:rsidRDefault="00681A47" w:rsidP="00155AF5">
      <w:pPr>
        <w:pStyle w:val="Para-1stLevel"/>
        <w:numPr>
          <w:ilvl w:val="1"/>
          <w:numId w:val="4"/>
        </w:numPr>
        <w:rPr>
          <w:iCs/>
          <w:sz w:val="24"/>
          <w:szCs w:val="24"/>
        </w:rPr>
      </w:pPr>
      <w:r>
        <w:rPr>
          <w:iCs/>
          <w:sz w:val="24"/>
          <w:szCs w:val="24"/>
        </w:rPr>
        <w:t>Signpost young women aged 15-24 who access the LARC service to access chlamydia testing</w:t>
      </w:r>
    </w:p>
    <w:p w14:paraId="7B5BBB50" w14:textId="77777777" w:rsidR="00681A47" w:rsidRDefault="00681A47" w:rsidP="00681A47">
      <w:pPr>
        <w:pStyle w:val="Para-1stLevel"/>
        <w:numPr>
          <w:ilvl w:val="0"/>
          <w:numId w:val="0"/>
        </w:numPr>
        <w:ind w:left="858"/>
        <w:rPr>
          <w:iCs/>
          <w:sz w:val="24"/>
          <w:szCs w:val="24"/>
        </w:rPr>
      </w:pPr>
    </w:p>
    <w:p w14:paraId="5321B338" w14:textId="2620AEC9" w:rsidR="00681A47" w:rsidRPr="00171CF7" w:rsidRDefault="00681A47" w:rsidP="00681A47">
      <w:pPr>
        <w:pStyle w:val="Para-1stLevel"/>
        <w:rPr>
          <w:b/>
          <w:bCs/>
          <w:iCs/>
          <w:sz w:val="24"/>
          <w:szCs w:val="24"/>
        </w:rPr>
      </w:pPr>
      <w:r w:rsidRPr="00171CF7">
        <w:rPr>
          <w:b/>
          <w:bCs/>
          <w:iCs/>
          <w:sz w:val="24"/>
          <w:szCs w:val="24"/>
        </w:rPr>
        <w:t>Service outcomes</w:t>
      </w:r>
    </w:p>
    <w:p w14:paraId="6D197922" w14:textId="77777777" w:rsidR="00681A47" w:rsidRDefault="00681A47" w:rsidP="00155AF5">
      <w:pPr>
        <w:pStyle w:val="Para-1stLevel"/>
        <w:numPr>
          <w:ilvl w:val="1"/>
          <w:numId w:val="2"/>
        </w:numPr>
        <w:rPr>
          <w:sz w:val="24"/>
          <w:szCs w:val="24"/>
        </w:rPr>
      </w:pPr>
      <w:r>
        <w:rPr>
          <w:sz w:val="24"/>
          <w:szCs w:val="24"/>
        </w:rPr>
        <w:t>Increase in the LARC prescribing rate in GP practices</w:t>
      </w:r>
    </w:p>
    <w:p w14:paraId="0548FDE6" w14:textId="77777777" w:rsidR="00681A47" w:rsidRDefault="00681A47" w:rsidP="00155AF5">
      <w:pPr>
        <w:pStyle w:val="Para-1stLevel"/>
        <w:numPr>
          <w:ilvl w:val="1"/>
          <w:numId w:val="2"/>
        </w:numPr>
        <w:rPr>
          <w:sz w:val="24"/>
          <w:szCs w:val="24"/>
        </w:rPr>
      </w:pPr>
      <w:r>
        <w:rPr>
          <w:sz w:val="24"/>
          <w:szCs w:val="24"/>
        </w:rPr>
        <w:t>Reduction in the rate of under 18 conceptions</w:t>
      </w:r>
    </w:p>
    <w:p w14:paraId="5C410D6F" w14:textId="77777777" w:rsidR="00681A47" w:rsidRDefault="00681A47" w:rsidP="00155AF5">
      <w:pPr>
        <w:pStyle w:val="Para-1stLevel"/>
        <w:numPr>
          <w:ilvl w:val="1"/>
          <w:numId w:val="3"/>
        </w:numPr>
        <w:rPr>
          <w:sz w:val="24"/>
          <w:szCs w:val="24"/>
        </w:rPr>
      </w:pPr>
      <w:r>
        <w:rPr>
          <w:sz w:val="24"/>
          <w:szCs w:val="24"/>
        </w:rPr>
        <w:t>Reduction in the rate of abortions</w:t>
      </w:r>
    </w:p>
    <w:p w14:paraId="46AD53F5" w14:textId="77777777" w:rsidR="00681A47" w:rsidRDefault="00681A47" w:rsidP="00155AF5">
      <w:pPr>
        <w:pStyle w:val="Para-1stLevel"/>
        <w:numPr>
          <w:ilvl w:val="1"/>
          <w:numId w:val="3"/>
        </w:numPr>
        <w:rPr>
          <w:sz w:val="24"/>
          <w:szCs w:val="24"/>
        </w:rPr>
      </w:pPr>
      <w:r>
        <w:rPr>
          <w:sz w:val="24"/>
          <w:szCs w:val="24"/>
        </w:rPr>
        <w:t>Reduction in the rate of repeat abortions</w:t>
      </w:r>
    </w:p>
    <w:p w14:paraId="027AC8C8" w14:textId="77777777" w:rsidR="00681A47" w:rsidRDefault="00681A47" w:rsidP="00155AF5">
      <w:pPr>
        <w:pStyle w:val="Para-1stLevel"/>
        <w:numPr>
          <w:ilvl w:val="1"/>
          <w:numId w:val="3"/>
        </w:numPr>
        <w:rPr>
          <w:sz w:val="24"/>
          <w:szCs w:val="24"/>
        </w:rPr>
      </w:pPr>
      <w:r>
        <w:rPr>
          <w:sz w:val="24"/>
          <w:szCs w:val="24"/>
        </w:rPr>
        <w:t>Increase in the proportion of women who report satisfaction with their LARC device</w:t>
      </w:r>
    </w:p>
    <w:p w14:paraId="3B754DEA" w14:textId="69D243A3" w:rsidR="00681A47" w:rsidRDefault="00681A47" w:rsidP="00155AF5">
      <w:pPr>
        <w:pStyle w:val="Para-1stLevel"/>
        <w:numPr>
          <w:ilvl w:val="1"/>
          <w:numId w:val="3"/>
        </w:numPr>
        <w:rPr>
          <w:sz w:val="24"/>
          <w:szCs w:val="24"/>
        </w:rPr>
      </w:pPr>
      <w:r>
        <w:rPr>
          <w:sz w:val="24"/>
          <w:szCs w:val="24"/>
        </w:rPr>
        <w:t>Increase in the number of general practices providing the LARC service</w:t>
      </w:r>
    </w:p>
    <w:p w14:paraId="4279A53F" w14:textId="77777777" w:rsidR="00681A47" w:rsidRDefault="00681A47" w:rsidP="00681A47">
      <w:pPr>
        <w:pStyle w:val="Para-1stLevel"/>
        <w:numPr>
          <w:ilvl w:val="0"/>
          <w:numId w:val="0"/>
        </w:numPr>
        <w:ind w:left="786"/>
        <w:rPr>
          <w:sz w:val="24"/>
          <w:szCs w:val="24"/>
        </w:rPr>
      </w:pPr>
    </w:p>
    <w:p w14:paraId="175675B4" w14:textId="65D0D918" w:rsidR="00681A47" w:rsidRPr="00171CF7" w:rsidRDefault="00681A47" w:rsidP="00681A47">
      <w:pPr>
        <w:pStyle w:val="Para-1stLevel"/>
        <w:rPr>
          <w:b/>
          <w:bCs/>
          <w:iCs/>
          <w:sz w:val="24"/>
          <w:szCs w:val="24"/>
        </w:rPr>
      </w:pPr>
      <w:r w:rsidRPr="00171CF7">
        <w:rPr>
          <w:b/>
          <w:bCs/>
          <w:iCs/>
          <w:sz w:val="24"/>
          <w:szCs w:val="24"/>
        </w:rPr>
        <w:t>Service description</w:t>
      </w:r>
    </w:p>
    <w:p w14:paraId="3C165247" w14:textId="6765237B" w:rsidR="00095533" w:rsidRDefault="00681A47" w:rsidP="00095533">
      <w:pPr>
        <w:pStyle w:val="Para-1stLevel"/>
        <w:numPr>
          <w:ilvl w:val="0"/>
          <w:numId w:val="0"/>
        </w:numPr>
        <w:ind w:left="786"/>
        <w:rPr>
          <w:sz w:val="24"/>
          <w:szCs w:val="24"/>
        </w:rPr>
      </w:pPr>
      <w:r w:rsidRPr="00095533">
        <w:rPr>
          <w:sz w:val="24"/>
          <w:szCs w:val="24"/>
        </w:rPr>
        <w:t>The service will</w:t>
      </w:r>
      <w:r w:rsidR="00095533" w:rsidRPr="00095533">
        <w:rPr>
          <w:sz w:val="24"/>
          <w:szCs w:val="24"/>
        </w:rPr>
        <w:t xml:space="preserve"> offer the fitting, monitoring, checking and removal of Intrauterine Contraceptive Devices (IUDs/IUSs) and Subdermal Implants (SDIs) licensed in the UK for contraceptive purposes</w:t>
      </w:r>
      <w:r w:rsidR="00095533">
        <w:rPr>
          <w:sz w:val="24"/>
          <w:szCs w:val="24"/>
        </w:rPr>
        <w:t>,</w:t>
      </w:r>
      <w:r w:rsidR="00095533" w:rsidRPr="00095533">
        <w:rPr>
          <w:sz w:val="24"/>
          <w:szCs w:val="24"/>
        </w:rPr>
        <w:t xml:space="preserve"> and for emergency contraception in the case of IUDs</w:t>
      </w:r>
      <w:r w:rsidR="00095533">
        <w:rPr>
          <w:sz w:val="24"/>
          <w:szCs w:val="24"/>
        </w:rPr>
        <w:t xml:space="preserve">, </w:t>
      </w:r>
      <w:r w:rsidR="00095533" w:rsidRPr="00095533">
        <w:rPr>
          <w:sz w:val="24"/>
          <w:szCs w:val="24"/>
        </w:rPr>
        <w:t xml:space="preserve">to women </w:t>
      </w:r>
      <w:r w:rsidR="00095533">
        <w:rPr>
          <w:sz w:val="24"/>
          <w:szCs w:val="24"/>
        </w:rPr>
        <w:t>resident in B&amp;NES or registered with a B&amp;NES general practice.</w:t>
      </w:r>
    </w:p>
    <w:p w14:paraId="37BA6B2F" w14:textId="77777777" w:rsidR="00510E4E" w:rsidRDefault="00F74783" w:rsidP="00F74783">
      <w:pPr>
        <w:pStyle w:val="Para-1stLevel"/>
        <w:numPr>
          <w:ilvl w:val="0"/>
          <w:numId w:val="0"/>
        </w:numPr>
        <w:ind w:left="786"/>
        <w:rPr>
          <w:sz w:val="24"/>
          <w:szCs w:val="24"/>
        </w:rPr>
      </w:pPr>
      <w:r w:rsidRPr="00F74783">
        <w:rPr>
          <w:sz w:val="24"/>
          <w:szCs w:val="24"/>
        </w:rPr>
        <w:t xml:space="preserve">The service will be available to women who request contraception and who choose an IUD/IUS </w:t>
      </w:r>
      <w:r>
        <w:rPr>
          <w:sz w:val="24"/>
          <w:szCs w:val="24"/>
        </w:rPr>
        <w:t xml:space="preserve">or SDI </w:t>
      </w:r>
      <w:r w:rsidRPr="00F74783">
        <w:rPr>
          <w:sz w:val="24"/>
          <w:szCs w:val="24"/>
        </w:rPr>
        <w:t xml:space="preserve">as the most acceptable method for them, </w:t>
      </w:r>
      <w:proofErr w:type="gramStart"/>
      <w:r w:rsidRPr="00F74783">
        <w:rPr>
          <w:sz w:val="24"/>
          <w:szCs w:val="24"/>
        </w:rPr>
        <w:t>provided that</w:t>
      </w:r>
      <w:proofErr w:type="gramEnd"/>
      <w:r w:rsidRPr="00F74783">
        <w:rPr>
          <w:sz w:val="24"/>
          <w:szCs w:val="24"/>
        </w:rPr>
        <w:t xml:space="preserve"> it is not contraindicated.</w:t>
      </w:r>
    </w:p>
    <w:p w14:paraId="6B31EA03" w14:textId="4B7DE4AC" w:rsidR="00F74783" w:rsidRDefault="00F74783" w:rsidP="00F74783">
      <w:pPr>
        <w:pStyle w:val="Para-1stLevel"/>
        <w:numPr>
          <w:ilvl w:val="0"/>
          <w:numId w:val="0"/>
        </w:numPr>
        <w:ind w:left="786"/>
        <w:rPr>
          <w:sz w:val="24"/>
          <w:szCs w:val="24"/>
        </w:rPr>
      </w:pPr>
      <w:r w:rsidRPr="00F74783">
        <w:rPr>
          <w:sz w:val="24"/>
          <w:szCs w:val="24"/>
        </w:rPr>
        <w:lastRenderedPageBreak/>
        <w:t>The provision of IUDs/IUS</w:t>
      </w:r>
      <w:r>
        <w:rPr>
          <w:sz w:val="24"/>
          <w:szCs w:val="24"/>
        </w:rPr>
        <w:t>s</w:t>
      </w:r>
      <w:r w:rsidRPr="00F74783">
        <w:rPr>
          <w:sz w:val="24"/>
          <w:szCs w:val="24"/>
        </w:rPr>
        <w:t xml:space="preserve"> under this </w:t>
      </w:r>
      <w:r>
        <w:rPr>
          <w:sz w:val="24"/>
          <w:szCs w:val="24"/>
        </w:rPr>
        <w:t>service</w:t>
      </w:r>
      <w:r w:rsidRPr="00F74783">
        <w:rPr>
          <w:sz w:val="24"/>
          <w:szCs w:val="24"/>
        </w:rPr>
        <w:t xml:space="preserve">, is for contraception and emergency contraception purposes only. </w:t>
      </w:r>
    </w:p>
    <w:p w14:paraId="1A79B262" w14:textId="3FBBE3D8" w:rsidR="00510E4E" w:rsidRDefault="00095533" w:rsidP="00171CF7">
      <w:pPr>
        <w:pStyle w:val="Para-1stLevel"/>
        <w:numPr>
          <w:ilvl w:val="0"/>
          <w:numId w:val="0"/>
        </w:numPr>
        <w:ind w:left="786"/>
        <w:rPr>
          <w:sz w:val="24"/>
          <w:szCs w:val="24"/>
        </w:rPr>
      </w:pPr>
      <w:r>
        <w:rPr>
          <w:sz w:val="24"/>
          <w:szCs w:val="24"/>
        </w:rPr>
        <w:t>Women will be able to self-refer into this service.</w:t>
      </w:r>
    </w:p>
    <w:p w14:paraId="1204C885" w14:textId="2D324341" w:rsidR="00755053" w:rsidRDefault="00755053" w:rsidP="00171CF7">
      <w:pPr>
        <w:pStyle w:val="Para-1stLevel"/>
        <w:numPr>
          <w:ilvl w:val="0"/>
          <w:numId w:val="0"/>
        </w:numPr>
        <w:ind w:left="786"/>
        <w:rPr>
          <w:sz w:val="24"/>
          <w:szCs w:val="24"/>
        </w:rPr>
      </w:pPr>
      <w:r w:rsidRPr="00755053">
        <w:rPr>
          <w:sz w:val="24"/>
          <w:szCs w:val="24"/>
        </w:rPr>
        <w:t>The Commissioner commits to working in partnership with general practices delivering the LARC service and wider Primary Care colleagues including BEMS and Wessex LMC, to scope and develop an inter-practice referral model and appropriate pathways during Year 1 of this contract. The inter-practice referral model should enable practices delivering the LARC service to confidently and safely refer women requiring the LARC service to another practice provider where appropriate. It is envisaged that such a model will be agreed by all stakeholders and implemented by Year 2 of this contract.</w:t>
      </w:r>
    </w:p>
    <w:p w14:paraId="121742A5" w14:textId="77777777" w:rsidR="00755053" w:rsidRDefault="00755053" w:rsidP="00171CF7">
      <w:pPr>
        <w:pStyle w:val="Para-1stLevel"/>
        <w:numPr>
          <w:ilvl w:val="0"/>
          <w:numId w:val="0"/>
        </w:numPr>
        <w:ind w:left="786"/>
        <w:rPr>
          <w:sz w:val="24"/>
          <w:szCs w:val="24"/>
        </w:rPr>
      </w:pPr>
    </w:p>
    <w:p w14:paraId="5DC801DE" w14:textId="7EDD4738" w:rsidR="009A5EFF" w:rsidRPr="009A5EFF" w:rsidRDefault="00F74783" w:rsidP="009A5EFF">
      <w:pPr>
        <w:pStyle w:val="Para-1stLevel"/>
        <w:numPr>
          <w:ilvl w:val="0"/>
          <w:numId w:val="0"/>
        </w:numPr>
        <w:ind w:left="786"/>
        <w:rPr>
          <w:sz w:val="24"/>
          <w:szCs w:val="24"/>
        </w:rPr>
      </w:pPr>
      <w:r w:rsidRPr="009A5EFF">
        <w:rPr>
          <w:sz w:val="24"/>
          <w:szCs w:val="24"/>
        </w:rPr>
        <w:t xml:space="preserve">The </w:t>
      </w:r>
      <w:r w:rsidR="001F62F8" w:rsidRPr="009A5EFF">
        <w:rPr>
          <w:sz w:val="24"/>
          <w:szCs w:val="24"/>
        </w:rPr>
        <w:t>P</w:t>
      </w:r>
      <w:r w:rsidRPr="009A5EFF">
        <w:rPr>
          <w:sz w:val="24"/>
          <w:szCs w:val="24"/>
        </w:rPr>
        <w:t>rovider will:</w:t>
      </w:r>
    </w:p>
    <w:p w14:paraId="05C70808" w14:textId="213F2898" w:rsidR="001F62F8" w:rsidRPr="00927FCD" w:rsidRDefault="00F74783" w:rsidP="00155AF5">
      <w:pPr>
        <w:pStyle w:val="Para-1stLevel"/>
        <w:numPr>
          <w:ilvl w:val="1"/>
          <w:numId w:val="5"/>
        </w:numPr>
        <w:rPr>
          <w:b/>
          <w:bCs/>
          <w:sz w:val="24"/>
          <w:szCs w:val="24"/>
        </w:rPr>
      </w:pPr>
      <w:r w:rsidRPr="009A5EFF">
        <w:rPr>
          <w:sz w:val="24"/>
          <w:szCs w:val="24"/>
        </w:rPr>
        <w:t xml:space="preserve">Give information about and offer a choice of all methods of contraception. </w:t>
      </w:r>
      <w:bookmarkStart w:id="0" w:name="_Hlk178759671"/>
      <w:r w:rsidRPr="009A5EFF">
        <w:rPr>
          <w:sz w:val="24"/>
          <w:szCs w:val="24"/>
        </w:rPr>
        <w:t>If, after</w:t>
      </w:r>
      <w:r w:rsidR="001F62F8" w:rsidRPr="009A5EFF">
        <w:rPr>
          <w:sz w:val="24"/>
          <w:szCs w:val="24"/>
        </w:rPr>
        <w:t xml:space="preserve"> discussion, the woman’s preferred method cannot be administered by the Provider a referral can be made, in the following order: </w:t>
      </w:r>
      <w:r w:rsidR="009A5EFF" w:rsidRPr="009A5EFF">
        <w:rPr>
          <w:sz w:val="24"/>
          <w:szCs w:val="24"/>
        </w:rPr>
        <w:t>(1)</w:t>
      </w:r>
      <w:r w:rsidR="001F62F8" w:rsidRPr="009A5EFF">
        <w:rPr>
          <w:sz w:val="24"/>
          <w:szCs w:val="24"/>
        </w:rPr>
        <w:t xml:space="preserve"> to another </w:t>
      </w:r>
      <w:r w:rsidR="00030ECE" w:rsidRPr="009A5EFF">
        <w:rPr>
          <w:sz w:val="24"/>
          <w:szCs w:val="24"/>
        </w:rPr>
        <w:t>general practice Provider</w:t>
      </w:r>
      <w:r w:rsidR="001F62F8" w:rsidRPr="009A5EFF">
        <w:rPr>
          <w:sz w:val="24"/>
          <w:szCs w:val="24"/>
        </w:rPr>
        <w:t xml:space="preserve"> offering the required method of contraception</w:t>
      </w:r>
      <w:r w:rsidR="009A5EFF" w:rsidRPr="009A5EFF">
        <w:rPr>
          <w:sz w:val="24"/>
          <w:szCs w:val="24"/>
        </w:rPr>
        <w:t>,</w:t>
      </w:r>
      <w:r w:rsidR="001F62F8" w:rsidRPr="009A5EFF">
        <w:rPr>
          <w:sz w:val="24"/>
          <w:szCs w:val="24"/>
        </w:rPr>
        <w:t xml:space="preserve"> or</w:t>
      </w:r>
      <w:r w:rsidR="009A5EFF" w:rsidRPr="009A5EFF">
        <w:rPr>
          <w:sz w:val="24"/>
          <w:szCs w:val="24"/>
        </w:rPr>
        <w:t xml:space="preserve"> (2)</w:t>
      </w:r>
      <w:r w:rsidR="001F62F8" w:rsidRPr="009A5EFF">
        <w:rPr>
          <w:sz w:val="24"/>
          <w:szCs w:val="24"/>
        </w:rPr>
        <w:t xml:space="preserve"> to Riverside Clinic. </w:t>
      </w:r>
      <w:r w:rsidR="009A5EFF" w:rsidRPr="009A5EFF">
        <w:rPr>
          <w:sz w:val="24"/>
          <w:szCs w:val="24"/>
        </w:rPr>
        <w:t xml:space="preserve">If referring to Riverside Clinic, practices should utilise the Riverside Clinic integrated sexual health referral form available on Ardens, and email it to </w:t>
      </w:r>
      <w:hyperlink r:id="rId11" w:history="1">
        <w:r w:rsidR="009A5EFF" w:rsidRPr="009A5EFF">
          <w:rPr>
            <w:rStyle w:val="Hyperlink"/>
            <w:b/>
            <w:bCs/>
            <w:sz w:val="24"/>
            <w:szCs w:val="24"/>
          </w:rPr>
          <w:t>ruh-tr.theriversideclinic@nhs.net</w:t>
        </w:r>
      </w:hyperlink>
      <w:r w:rsidR="009A5EFF" w:rsidRPr="009A5EFF">
        <w:rPr>
          <w:sz w:val="24"/>
          <w:szCs w:val="24"/>
        </w:rPr>
        <w:t xml:space="preserve">. </w:t>
      </w:r>
      <w:r w:rsidR="001F62F8" w:rsidRPr="009A5EFF">
        <w:rPr>
          <w:sz w:val="24"/>
          <w:szCs w:val="24"/>
        </w:rPr>
        <w:t xml:space="preserve">Please note that Riverside Clinic are not commissioned to provide contraception for non-contraceptive reasons. </w:t>
      </w:r>
    </w:p>
    <w:bookmarkEnd w:id="0"/>
    <w:p w14:paraId="4AC7A8F9" w14:textId="5C04546E" w:rsidR="00F74783" w:rsidRDefault="001F62F8" w:rsidP="00155AF5">
      <w:pPr>
        <w:pStyle w:val="Para-1stLevel"/>
        <w:numPr>
          <w:ilvl w:val="1"/>
          <w:numId w:val="5"/>
        </w:numPr>
        <w:rPr>
          <w:sz w:val="24"/>
          <w:szCs w:val="24"/>
        </w:rPr>
      </w:pPr>
      <w:r>
        <w:rPr>
          <w:sz w:val="24"/>
          <w:szCs w:val="24"/>
        </w:rPr>
        <w:t xml:space="preserve">Provide women considering LARC with detailed information, both written and verbal, to support patient choice. Such information should take into account the woman’s individual needs and include contraceptive efficacy; duration of use, risks and possible side effects; non-contraceptive benefits (for example in the case of IUDs/IUSs); the procedure for fitting and removal or </w:t>
      </w:r>
      <w:proofErr w:type="gramStart"/>
      <w:r>
        <w:rPr>
          <w:sz w:val="24"/>
          <w:szCs w:val="24"/>
        </w:rPr>
        <w:t>discontinuation</w:t>
      </w:r>
      <w:r w:rsidR="00510E4E">
        <w:rPr>
          <w:sz w:val="24"/>
          <w:szCs w:val="24"/>
        </w:rPr>
        <w:t>;</w:t>
      </w:r>
      <w:proofErr w:type="gramEnd"/>
      <w:r w:rsidR="00510E4E">
        <w:rPr>
          <w:sz w:val="24"/>
          <w:szCs w:val="24"/>
        </w:rPr>
        <w:t xml:space="preserve"> when and how to seek help whilst using the LARC method</w:t>
      </w:r>
    </w:p>
    <w:p w14:paraId="2EB9507C" w14:textId="57077D48" w:rsidR="00510E4E" w:rsidRDefault="00510E4E" w:rsidP="00155AF5">
      <w:pPr>
        <w:pStyle w:val="Para-1stLevel"/>
        <w:numPr>
          <w:ilvl w:val="1"/>
          <w:numId w:val="5"/>
        </w:numPr>
        <w:rPr>
          <w:sz w:val="24"/>
          <w:szCs w:val="24"/>
        </w:rPr>
      </w:pPr>
      <w:r w:rsidRPr="00510E4E">
        <w:rPr>
          <w:sz w:val="24"/>
          <w:szCs w:val="24"/>
        </w:rPr>
        <w:t xml:space="preserve">Undertake a review of the </w:t>
      </w:r>
      <w:r>
        <w:rPr>
          <w:sz w:val="24"/>
          <w:szCs w:val="24"/>
        </w:rPr>
        <w:t>woman’s</w:t>
      </w:r>
      <w:r w:rsidRPr="00510E4E">
        <w:rPr>
          <w:sz w:val="24"/>
          <w:szCs w:val="24"/>
        </w:rPr>
        <w:t xml:space="preserve"> sexual and reproductive history, to ensure that</w:t>
      </w:r>
      <w:r>
        <w:rPr>
          <w:sz w:val="24"/>
          <w:szCs w:val="24"/>
        </w:rPr>
        <w:t xml:space="preserve"> </w:t>
      </w:r>
      <w:r w:rsidRPr="00510E4E">
        <w:rPr>
          <w:sz w:val="24"/>
          <w:szCs w:val="24"/>
        </w:rPr>
        <w:t xml:space="preserve">the LARC device is the most appropriate method of contraception for the </w:t>
      </w:r>
      <w:r>
        <w:rPr>
          <w:sz w:val="24"/>
          <w:szCs w:val="24"/>
        </w:rPr>
        <w:t xml:space="preserve">woman </w:t>
      </w:r>
      <w:r w:rsidRPr="00510E4E">
        <w:rPr>
          <w:sz w:val="24"/>
          <w:szCs w:val="24"/>
        </w:rPr>
        <w:t>based on medical evidence, clinical guidelines, sexual history and practice, and risk</w:t>
      </w:r>
      <w:r>
        <w:rPr>
          <w:sz w:val="24"/>
          <w:szCs w:val="24"/>
        </w:rPr>
        <w:t xml:space="preserve"> assessment. The FSRH UKMEC guidance should be utilised as part of this review: </w:t>
      </w:r>
      <w:hyperlink r:id="rId12" w:history="1">
        <w:r w:rsidRPr="00BC2F2D">
          <w:rPr>
            <w:rStyle w:val="Hyperlink"/>
            <w:sz w:val="24"/>
            <w:szCs w:val="24"/>
          </w:rPr>
          <w:t>http://www.fsrh.org/pdfs/UKMEC2009.pdf</w:t>
        </w:r>
      </w:hyperlink>
      <w:r>
        <w:rPr>
          <w:sz w:val="24"/>
          <w:szCs w:val="24"/>
        </w:rPr>
        <w:t xml:space="preserve">. Additional guidance on LARC can be found at </w:t>
      </w:r>
      <w:hyperlink r:id="rId13" w:history="1">
        <w:r w:rsidRPr="00BC2F2D">
          <w:rPr>
            <w:rStyle w:val="Hyperlink"/>
            <w:sz w:val="24"/>
            <w:szCs w:val="24"/>
          </w:rPr>
          <w:t>https://www.nice.org.uk/guidance/CG30</w:t>
        </w:r>
      </w:hyperlink>
      <w:r>
        <w:rPr>
          <w:sz w:val="24"/>
          <w:szCs w:val="24"/>
        </w:rPr>
        <w:t xml:space="preserve"> </w:t>
      </w:r>
    </w:p>
    <w:p w14:paraId="555E250C" w14:textId="08984331" w:rsidR="00510E4E" w:rsidRDefault="00510E4E" w:rsidP="00155AF5">
      <w:pPr>
        <w:pStyle w:val="Para-1stLevel"/>
        <w:numPr>
          <w:ilvl w:val="1"/>
          <w:numId w:val="5"/>
        </w:numPr>
        <w:rPr>
          <w:sz w:val="24"/>
          <w:szCs w:val="24"/>
        </w:rPr>
      </w:pPr>
      <w:r w:rsidRPr="00510E4E">
        <w:rPr>
          <w:sz w:val="24"/>
          <w:szCs w:val="24"/>
        </w:rPr>
        <w:t>Assess the patient’s risk in relation to STIs</w:t>
      </w:r>
      <w:r>
        <w:rPr>
          <w:sz w:val="24"/>
          <w:szCs w:val="24"/>
        </w:rPr>
        <w:t xml:space="preserve">, including </w:t>
      </w:r>
      <w:r w:rsidRPr="00510E4E">
        <w:rPr>
          <w:sz w:val="24"/>
          <w:szCs w:val="24"/>
        </w:rPr>
        <w:t>HIV</w:t>
      </w:r>
      <w:r>
        <w:rPr>
          <w:sz w:val="24"/>
          <w:szCs w:val="24"/>
        </w:rPr>
        <w:t>,</w:t>
      </w:r>
      <w:r w:rsidRPr="00510E4E">
        <w:rPr>
          <w:sz w:val="24"/>
          <w:szCs w:val="24"/>
        </w:rPr>
        <w:t xml:space="preserve"> and test where appropriate</w:t>
      </w:r>
    </w:p>
    <w:p w14:paraId="18254B9B" w14:textId="6CD5B4D9" w:rsidR="00681A47" w:rsidRDefault="00510E4E" w:rsidP="00155AF5">
      <w:pPr>
        <w:pStyle w:val="Para-1stLevel"/>
        <w:numPr>
          <w:ilvl w:val="1"/>
          <w:numId w:val="5"/>
        </w:numPr>
        <w:rPr>
          <w:sz w:val="24"/>
          <w:szCs w:val="24"/>
        </w:rPr>
      </w:pPr>
      <w:r w:rsidRPr="00510E4E">
        <w:rPr>
          <w:sz w:val="24"/>
          <w:szCs w:val="24"/>
        </w:rPr>
        <w:t>Ensure informed consent is obtained from the patient for the procedure to be carried out</w:t>
      </w:r>
    </w:p>
    <w:p w14:paraId="642F0B8D" w14:textId="6C60972E" w:rsidR="00510E4E" w:rsidRDefault="00510E4E" w:rsidP="00155AF5">
      <w:pPr>
        <w:pStyle w:val="Para-1stLevel"/>
        <w:numPr>
          <w:ilvl w:val="1"/>
          <w:numId w:val="5"/>
        </w:numPr>
        <w:rPr>
          <w:sz w:val="24"/>
          <w:szCs w:val="24"/>
        </w:rPr>
      </w:pPr>
      <w:r w:rsidRPr="00510E4E">
        <w:rPr>
          <w:sz w:val="24"/>
          <w:szCs w:val="24"/>
        </w:rPr>
        <w:lastRenderedPageBreak/>
        <w:t xml:space="preserve">At time of fitting, reinforce to the </w:t>
      </w:r>
      <w:r>
        <w:rPr>
          <w:sz w:val="24"/>
          <w:szCs w:val="24"/>
        </w:rPr>
        <w:t>woman</w:t>
      </w:r>
      <w:r w:rsidRPr="00510E4E">
        <w:rPr>
          <w:sz w:val="24"/>
          <w:szCs w:val="24"/>
        </w:rPr>
        <w:t xml:space="preserve"> information on effectiveness, duration of</w:t>
      </w:r>
      <w:r>
        <w:rPr>
          <w:sz w:val="24"/>
          <w:szCs w:val="24"/>
        </w:rPr>
        <w:t xml:space="preserve"> </w:t>
      </w:r>
      <w:r w:rsidRPr="00510E4E">
        <w:rPr>
          <w:sz w:val="24"/>
          <w:szCs w:val="24"/>
        </w:rPr>
        <w:t>use, side effects and those symptoms that require urgent assessment</w:t>
      </w:r>
    </w:p>
    <w:p w14:paraId="3DEF1239" w14:textId="76E03FA0" w:rsidR="00510E4E" w:rsidRDefault="00510E4E" w:rsidP="00155AF5">
      <w:pPr>
        <w:pStyle w:val="Para-1stLevel"/>
        <w:numPr>
          <w:ilvl w:val="1"/>
          <w:numId w:val="5"/>
        </w:numPr>
        <w:rPr>
          <w:sz w:val="24"/>
          <w:szCs w:val="24"/>
        </w:rPr>
      </w:pPr>
      <w:r w:rsidRPr="00510E4E">
        <w:rPr>
          <w:sz w:val="24"/>
          <w:szCs w:val="24"/>
        </w:rPr>
        <w:t>All devices used must be licensed for use in the UK and approved by the local</w:t>
      </w:r>
      <w:r>
        <w:rPr>
          <w:sz w:val="24"/>
          <w:szCs w:val="24"/>
        </w:rPr>
        <w:t xml:space="preserve"> </w:t>
      </w:r>
      <w:r w:rsidRPr="00510E4E">
        <w:rPr>
          <w:sz w:val="24"/>
          <w:szCs w:val="24"/>
        </w:rPr>
        <w:t>formulae. The fitting and removal of LARC devices shall be in line with the most</w:t>
      </w:r>
      <w:r>
        <w:rPr>
          <w:sz w:val="24"/>
          <w:szCs w:val="24"/>
        </w:rPr>
        <w:t xml:space="preserve"> </w:t>
      </w:r>
      <w:r w:rsidRPr="00510E4E">
        <w:rPr>
          <w:sz w:val="24"/>
          <w:szCs w:val="24"/>
        </w:rPr>
        <w:t>current Summary of Product Characteristics guidelines</w:t>
      </w:r>
    </w:p>
    <w:p w14:paraId="13F5D5B0" w14:textId="25C18D0B" w:rsidR="00352287" w:rsidRPr="00F365CE" w:rsidRDefault="00836E2A" w:rsidP="00155AF5">
      <w:pPr>
        <w:pStyle w:val="Para-1stLevel"/>
        <w:numPr>
          <w:ilvl w:val="1"/>
          <w:numId w:val="5"/>
        </w:numPr>
        <w:rPr>
          <w:sz w:val="24"/>
          <w:szCs w:val="24"/>
        </w:rPr>
      </w:pPr>
      <w:r w:rsidRPr="00F365CE">
        <w:rPr>
          <w:sz w:val="24"/>
          <w:szCs w:val="24"/>
        </w:rPr>
        <w:t xml:space="preserve">Women who require a device fit for heavy menstrual bleeding or other non-contraceptive purposes should only be offered a fitting where there is a clear additional contraceptive benefit. The fitting of an IUD/IUS may have non-contraceptive benefits that impact a woman’s choice of method. However, this </w:t>
      </w:r>
      <w:r w:rsidR="00747C10" w:rsidRPr="00F365CE">
        <w:rPr>
          <w:sz w:val="24"/>
          <w:szCs w:val="24"/>
        </w:rPr>
        <w:t xml:space="preserve">commissioned </w:t>
      </w:r>
      <w:r w:rsidRPr="00F365CE">
        <w:rPr>
          <w:sz w:val="24"/>
          <w:szCs w:val="24"/>
        </w:rPr>
        <w:t>service does not include the use of IUDs, IUSs and SDIs where no contraceptive effect is indicated</w:t>
      </w:r>
    </w:p>
    <w:p w14:paraId="08204F67" w14:textId="51E74E42" w:rsidR="00352287" w:rsidRDefault="00352287" w:rsidP="00155AF5">
      <w:pPr>
        <w:pStyle w:val="Para-1stLevel"/>
        <w:numPr>
          <w:ilvl w:val="1"/>
          <w:numId w:val="5"/>
        </w:numPr>
        <w:rPr>
          <w:sz w:val="24"/>
          <w:szCs w:val="24"/>
        </w:rPr>
      </w:pPr>
      <w:r>
        <w:rPr>
          <w:sz w:val="24"/>
          <w:szCs w:val="24"/>
        </w:rPr>
        <w:t>Following a fitting, r</w:t>
      </w:r>
      <w:r w:rsidRPr="00352287">
        <w:rPr>
          <w:sz w:val="24"/>
          <w:szCs w:val="24"/>
        </w:rPr>
        <w:t>outine annual</w:t>
      </w:r>
      <w:r>
        <w:rPr>
          <w:sz w:val="24"/>
          <w:szCs w:val="24"/>
        </w:rPr>
        <w:t xml:space="preserve"> </w:t>
      </w:r>
      <w:r w:rsidRPr="00352287">
        <w:rPr>
          <w:sz w:val="24"/>
          <w:szCs w:val="24"/>
        </w:rPr>
        <w:t xml:space="preserve">checks are not required; however, </w:t>
      </w:r>
      <w:r>
        <w:rPr>
          <w:sz w:val="24"/>
          <w:szCs w:val="24"/>
        </w:rPr>
        <w:t xml:space="preserve">the Provider should ensure </w:t>
      </w:r>
      <w:r w:rsidRPr="00352287">
        <w:rPr>
          <w:sz w:val="24"/>
          <w:szCs w:val="24"/>
        </w:rPr>
        <w:t xml:space="preserve">arrangements </w:t>
      </w:r>
      <w:r>
        <w:rPr>
          <w:sz w:val="24"/>
          <w:szCs w:val="24"/>
        </w:rPr>
        <w:t>are</w:t>
      </w:r>
      <w:r w:rsidRPr="00352287">
        <w:rPr>
          <w:sz w:val="24"/>
          <w:szCs w:val="24"/>
        </w:rPr>
        <w:t xml:space="preserve"> in place to review</w:t>
      </w:r>
      <w:r>
        <w:rPr>
          <w:sz w:val="24"/>
          <w:szCs w:val="24"/>
        </w:rPr>
        <w:t xml:space="preserve"> </w:t>
      </w:r>
      <w:r w:rsidRPr="00352287">
        <w:rPr>
          <w:sz w:val="24"/>
          <w:szCs w:val="24"/>
        </w:rPr>
        <w:t xml:space="preserve">patients experiencing problems in a timely </w:t>
      </w:r>
      <w:r>
        <w:rPr>
          <w:sz w:val="24"/>
          <w:szCs w:val="24"/>
        </w:rPr>
        <w:t xml:space="preserve">fashion, including the assessment of </w:t>
      </w:r>
      <w:r w:rsidRPr="00352287">
        <w:rPr>
          <w:sz w:val="24"/>
          <w:szCs w:val="24"/>
        </w:rPr>
        <w:t>urgent problems such as</w:t>
      </w:r>
      <w:r>
        <w:rPr>
          <w:sz w:val="24"/>
          <w:szCs w:val="24"/>
        </w:rPr>
        <w:t xml:space="preserve"> abnormal bleeding or pain</w:t>
      </w:r>
    </w:p>
    <w:p w14:paraId="31B217CA" w14:textId="4703C99C" w:rsidR="00CF5926" w:rsidRPr="00CF5926" w:rsidRDefault="00CF5926" w:rsidP="00155AF5">
      <w:pPr>
        <w:pStyle w:val="Para-1stLevel"/>
        <w:numPr>
          <w:ilvl w:val="1"/>
          <w:numId w:val="5"/>
        </w:numPr>
        <w:rPr>
          <w:sz w:val="24"/>
          <w:szCs w:val="24"/>
        </w:rPr>
      </w:pPr>
      <w:r>
        <w:rPr>
          <w:sz w:val="24"/>
          <w:szCs w:val="24"/>
        </w:rPr>
        <w:t xml:space="preserve">Following a fitting encourage </w:t>
      </w:r>
      <w:r w:rsidRPr="00CF5926">
        <w:rPr>
          <w:sz w:val="24"/>
          <w:szCs w:val="24"/>
        </w:rPr>
        <w:t xml:space="preserve">the use of condoms to prevent </w:t>
      </w:r>
      <w:r>
        <w:rPr>
          <w:sz w:val="24"/>
          <w:szCs w:val="24"/>
        </w:rPr>
        <w:t>STIs</w:t>
      </w:r>
      <w:r w:rsidR="00B94D83">
        <w:rPr>
          <w:sz w:val="24"/>
          <w:szCs w:val="24"/>
        </w:rPr>
        <w:t xml:space="preserve">. Women aged under 25 should be encouraged to sign up to the B&amp;NES Ccard (free condom) scheme at </w:t>
      </w:r>
      <w:hyperlink r:id="rId14" w:history="1">
        <w:r w:rsidR="00B94D83" w:rsidRPr="007E698A">
          <w:rPr>
            <w:rStyle w:val="Hyperlink"/>
            <w:sz w:val="24"/>
            <w:szCs w:val="24"/>
          </w:rPr>
          <w:t>www.safebanes.com</w:t>
        </w:r>
      </w:hyperlink>
    </w:p>
    <w:p w14:paraId="66C3C543" w14:textId="70C30EA0" w:rsidR="00836E2A" w:rsidRDefault="00836E2A" w:rsidP="00155AF5">
      <w:pPr>
        <w:pStyle w:val="Para-1stLevel"/>
        <w:numPr>
          <w:ilvl w:val="1"/>
          <w:numId w:val="5"/>
        </w:numPr>
        <w:rPr>
          <w:sz w:val="24"/>
          <w:szCs w:val="24"/>
        </w:rPr>
      </w:pPr>
      <w:r w:rsidRPr="00352287">
        <w:rPr>
          <w:sz w:val="24"/>
          <w:szCs w:val="24"/>
        </w:rPr>
        <w:t xml:space="preserve">For </w:t>
      </w:r>
      <w:r>
        <w:rPr>
          <w:sz w:val="24"/>
          <w:szCs w:val="24"/>
        </w:rPr>
        <w:t>all device</w:t>
      </w:r>
      <w:r w:rsidRPr="00352287">
        <w:rPr>
          <w:sz w:val="24"/>
          <w:szCs w:val="24"/>
        </w:rPr>
        <w:t xml:space="preserve"> types the Provider shall have in place a call and recall arrangement</w:t>
      </w:r>
      <w:r>
        <w:rPr>
          <w:sz w:val="24"/>
          <w:szCs w:val="24"/>
        </w:rPr>
        <w:t xml:space="preserve"> </w:t>
      </w:r>
      <w:r w:rsidRPr="00352287">
        <w:rPr>
          <w:sz w:val="24"/>
          <w:szCs w:val="24"/>
        </w:rPr>
        <w:t>for patients towards the end of life of the device</w:t>
      </w:r>
      <w:r w:rsidR="006E536D">
        <w:rPr>
          <w:sz w:val="24"/>
          <w:szCs w:val="24"/>
        </w:rPr>
        <w:t>, except where the provider has provided the service on behalf of another Practice, in which case, responsibility for call and recall rests with the registered Practice.</w:t>
      </w:r>
    </w:p>
    <w:p w14:paraId="24EAEC73" w14:textId="43EAAF4E" w:rsidR="00457BFA" w:rsidRPr="002158C6" w:rsidRDefault="00CF5926" w:rsidP="002158C6">
      <w:pPr>
        <w:pStyle w:val="Para-1stLevel"/>
        <w:numPr>
          <w:ilvl w:val="1"/>
          <w:numId w:val="5"/>
        </w:numPr>
        <w:rPr>
          <w:sz w:val="24"/>
          <w:szCs w:val="24"/>
        </w:rPr>
      </w:pPr>
      <w:r>
        <w:rPr>
          <w:sz w:val="24"/>
          <w:szCs w:val="24"/>
        </w:rPr>
        <w:t>If</w:t>
      </w:r>
      <w:r w:rsidRPr="00CF5926">
        <w:rPr>
          <w:sz w:val="24"/>
          <w:szCs w:val="24"/>
        </w:rPr>
        <w:t xml:space="preserve"> a patient wishes to continue using an SDI as her method of contraception</w:t>
      </w:r>
      <w:r w:rsidR="00457BFA">
        <w:rPr>
          <w:sz w:val="24"/>
          <w:szCs w:val="24"/>
        </w:rPr>
        <w:t xml:space="preserve"> </w:t>
      </w:r>
      <w:r w:rsidR="00457BFA" w:rsidRPr="00CF5926">
        <w:rPr>
          <w:sz w:val="24"/>
          <w:szCs w:val="24"/>
        </w:rPr>
        <w:t>at expiration, a replacement implant may be inserted at the same site. However, to</w:t>
      </w:r>
      <w:r w:rsidR="00457BFA">
        <w:rPr>
          <w:sz w:val="24"/>
          <w:szCs w:val="24"/>
        </w:rPr>
        <w:t xml:space="preserve"> </w:t>
      </w:r>
      <w:r w:rsidR="00457BFA" w:rsidRPr="00CF5926">
        <w:rPr>
          <w:sz w:val="24"/>
          <w:szCs w:val="24"/>
        </w:rPr>
        <w:t xml:space="preserve">avoid insertion into a thickened scar tissue the implant should be inserted </w:t>
      </w:r>
      <w:proofErr w:type="spellStart"/>
      <w:r w:rsidR="00457BFA" w:rsidRPr="00CF5926">
        <w:rPr>
          <w:sz w:val="24"/>
          <w:szCs w:val="24"/>
        </w:rPr>
        <w:t>subdermally</w:t>
      </w:r>
      <w:proofErr w:type="spellEnd"/>
      <w:r w:rsidR="00457BFA">
        <w:rPr>
          <w:sz w:val="24"/>
          <w:szCs w:val="24"/>
        </w:rPr>
        <w:t xml:space="preserve"> </w:t>
      </w:r>
      <w:r w:rsidR="00457BFA" w:rsidRPr="00CF5926">
        <w:rPr>
          <w:sz w:val="24"/>
          <w:szCs w:val="24"/>
        </w:rPr>
        <w:t>along a fresh track adjacent to the track. This does not apply if:</w:t>
      </w:r>
      <w:r w:rsidR="00457BFA">
        <w:rPr>
          <w:sz w:val="24"/>
          <w:szCs w:val="24"/>
        </w:rPr>
        <w:t xml:space="preserve"> t</w:t>
      </w:r>
      <w:r w:rsidR="00457BFA" w:rsidRPr="00CF5926">
        <w:rPr>
          <w:sz w:val="24"/>
          <w:szCs w:val="24"/>
        </w:rPr>
        <w:t>he previous implant was incorrectly sited in which case a new site should</w:t>
      </w:r>
      <w:r w:rsidR="00457BFA">
        <w:rPr>
          <w:sz w:val="24"/>
          <w:szCs w:val="24"/>
        </w:rPr>
        <w:t xml:space="preserve"> </w:t>
      </w:r>
      <w:r w:rsidR="00457BFA" w:rsidRPr="00CF5926">
        <w:rPr>
          <w:sz w:val="24"/>
          <w:szCs w:val="24"/>
        </w:rPr>
        <w:t>be used</w:t>
      </w:r>
      <w:r w:rsidR="00457BFA">
        <w:rPr>
          <w:sz w:val="24"/>
          <w:szCs w:val="24"/>
        </w:rPr>
        <w:t xml:space="preserve">; or if the </w:t>
      </w:r>
      <w:r w:rsidR="00457BFA" w:rsidRPr="00CF5926">
        <w:rPr>
          <w:sz w:val="24"/>
          <w:szCs w:val="24"/>
        </w:rPr>
        <w:t>patient requests a third implant. Due to the theoretical risk of skin</w:t>
      </w:r>
      <w:r w:rsidR="00457BFA">
        <w:rPr>
          <w:sz w:val="24"/>
          <w:szCs w:val="24"/>
        </w:rPr>
        <w:t xml:space="preserve"> </w:t>
      </w:r>
      <w:r w:rsidR="00457BFA" w:rsidRPr="00CF5926">
        <w:rPr>
          <w:sz w:val="24"/>
          <w:szCs w:val="24"/>
        </w:rPr>
        <w:t>atrophy, FSRH guid</w:t>
      </w:r>
      <w:r w:rsidR="00457BFA">
        <w:rPr>
          <w:sz w:val="24"/>
          <w:szCs w:val="24"/>
        </w:rPr>
        <w:t xml:space="preserve">ance </w:t>
      </w:r>
      <w:r w:rsidR="00457BFA" w:rsidRPr="00CF5926">
        <w:rPr>
          <w:sz w:val="24"/>
          <w:szCs w:val="24"/>
        </w:rPr>
        <w:t>advises that consideration may be given to switching</w:t>
      </w:r>
      <w:r w:rsidR="00457BFA">
        <w:rPr>
          <w:sz w:val="24"/>
          <w:szCs w:val="24"/>
        </w:rPr>
        <w:t xml:space="preserve"> </w:t>
      </w:r>
      <w:r w:rsidR="00457BFA" w:rsidRPr="00CF5926">
        <w:rPr>
          <w:sz w:val="24"/>
          <w:szCs w:val="24"/>
        </w:rPr>
        <w:t>arms after two consecutive implants</w:t>
      </w:r>
    </w:p>
    <w:p w14:paraId="5094AF94" w14:textId="4987DA92" w:rsidR="00510E4E" w:rsidRPr="00836E2A" w:rsidRDefault="00352287" w:rsidP="00155AF5">
      <w:pPr>
        <w:pStyle w:val="Para-1stLevel"/>
        <w:numPr>
          <w:ilvl w:val="1"/>
          <w:numId w:val="5"/>
        </w:numPr>
        <w:rPr>
          <w:sz w:val="24"/>
          <w:szCs w:val="24"/>
        </w:rPr>
      </w:pPr>
      <w:r w:rsidRPr="00352287">
        <w:rPr>
          <w:sz w:val="24"/>
          <w:szCs w:val="24"/>
        </w:rPr>
        <w:t>Undertake a pre-removal counselling session for all patients requesting the removal</w:t>
      </w:r>
      <w:r>
        <w:rPr>
          <w:sz w:val="24"/>
          <w:szCs w:val="24"/>
        </w:rPr>
        <w:t xml:space="preserve"> </w:t>
      </w:r>
      <w:r w:rsidRPr="00352287">
        <w:rPr>
          <w:sz w:val="24"/>
          <w:szCs w:val="24"/>
        </w:rPr>
        <w:t xml:space="preserve">of a device for any reasons including problems </w:t>
      </w:r>
      <w:r>
        <w:rPr>
          <w:sz w:val="24"/>
          <w:szCs w:val="24"/>
        </w:rPr>
        <w:t xml:space="preserve">with the method, </w:t>
      </w:r>
      <w:r w:rsidRPr="00352287">
        <w:rPr>
          <w:sz w:val="24"/>
          <w:szCs w:val="24"/>
        </w:rPr>
        <w:t xml:space="preserve">or at </w:t>
      </w:r>
      <w:r>
        <w:rPr>
          <w:sz w:val="24"/>
          <w:szCs w:val="24"/>
        </w:rPr>
        <w:t xml:space="preserve">time of </w:t>
      </w:r>
      <w:r w:rsidRPr="00352287">
        <w:rPr>
          <w:sz w:val="24"/>
          <w:szCs w:val="24"/>
        </w:rPr>
        <w:t xml:space="preserve">expiry of the </w:t>
      </w:r>
      <w:r>
        <w:rPr>
          <w:sz w:val="24"/>
          <w:szCs w:val="24"/>
        </w:rPr>
        <w:t>method</w:t>
      </w:r>
      <w:r w:rsidRPr="00352287">
        <w:rPr>
          <w:sz w:val="24"/>
          <w:szCs w:val="24"/>
        </w:rPr>
        <w:t xml:space="preserve">. </w:t>
      </w:r>
      <w:r w:rsidRPr="00836E2A">
        <w:rPr>
          <w:sz w:val="24"/>
          <w:szCs w:val="24"/>
        </w:rPr>
        <w:t xml:space="preserve">If a request for removal has been made by a patient less than 12 months after fitting, encourage, </w:t>
      </w:r>
      <w:r w:rsidR="00836E2A">
        <w:rPr>
          <w:sz w:val="24"/>
          <w:szCs w:val="24"/>
        </w:rPr>
        <w:t>if</w:t>
      </w:r>
      <w:r w:rsidRPr="00836E2A">
        <w:rPr>
          <w:sz w:val="24"/>
          <w:szCs w:val="24"/>
        </w:rPr>
        <w:t xml:space="preserve"> appropriate, continued use of the LARC device.</w:t>
      </w:r>
    </w:p>
    <w:p w14:paraId="7B3CF6D1" w14:textId="77777777" w:rsidR="00510E4E" w:rsidRPr="00510E4E" w:rsidRDefault="00510E4E" w:rsidP="00510E4E">
      <w:pPr>
        <w:pStyle w:val="Para-1stLevel"/>
        <w:numPr>
          <w:ilvl w:val="0"/>
          <w:numId w:val="0"/>
        </w:numPr>
        <w:ind w:left="858" w:hanging="432"/>
        <w:rPr>
          <w:sz w:val="24"/>
          <w:szCs w:val="24"/>
        </w:rPr>
      </w:pPr>
    </w:p>
    <w:p w14:paraId="623695FC" w14:textId="6CBD09C9" w:rsidR="00681A47" w:rsidRPr="00171CF7" w:rsidRDefault="00CF5926" w:rsidP="00681A47">
      <w:pPr>
        <w:pStyle w:val="Para-1stLevel"/>
        <w:rPr>
          <w:b/>
          <w:bCs/>
          <w:iCs/>
          <w:sz w:val="24"/>
          <w:szCs w:val="24"/>
        </w:rPr>
      </w:pPr>
      <w:r w:rsidRPr="00171CF7">
        <w:rPr>
          <w:b/>
          <w:bCs/>
          <w:iCs/>
          <w:sz w:val="24"/>
          <w:szCs w:val="24"/>
        </w:rPr>
        <w:t>Service requirements</w:t>
      </w:r>
    </w:p>
    <w:p w14:paraId="2B2D60B4" w14:textId="2251B7DA" w:rsidR="00CF5926" w:rsidRDefault="00CF5926" w:rsidP="00155AF5">
      <w:pPr>
        <w:pStyle w:val="Para-1stLevel"/>
        <w:numPr>
          <w:ilvl w:val="1"/>
          <w:numId w:val="5"/>
        </w:numPr>
        <w:rPr>
          <w:sz w:val="24"/>
          <w:szCs w:val="24"/>
        </w:rPr>
      </w:pPr>
      <w:r w:rsidRPr="00CF5926">
        <w:rPr>
          <w:sz w:val="24"/>
          <w:szCs w:val="24"/>
        </w:rPr>
        <w:t xml:space="preserve">The Provider </w:t>
      </w:r>
      <w:r>
        <w:rPr>
          <w:sz w:val="24"/>
          <w:szCs w:val="24"/>
        </w:rPr>
        <w:t>should e</w:t>
      </w:r>
      <w:r w:rsidRPr="00CF5926">
        <w:rPr>
          <w:sz w:val="24"/>
          <w:szCs w:val="24"/>
        </w:rPr>
        <w:t>nsure that the service is user friendly, non-judgemental, person-centred and</w:t>
      </w:r>
      <w:r>
        <w:rPr>
          <w:sz w:val="24"/>
          <w:szCs w:val="24"/>
        </w:rPr>
        <w:t xml:space="preserve"> </w:t>
      </w:r>
      <w:r w:rsidRPr="00CF5926">
        <w:rPr>
          <w:sz w:val="24"/>
          <w:szCs w:val="24"/>
        </w:rPr>
        <w:t xml:space="preserve">confidential </w:t>
      </w:r>
      <w:proofErr w:type="gramStart"/>
      <w:r w:rsidRPr="00CF5926">
        <w:rPr>
          <w:sz w:val="24"/>
          <w:szCs w:val="24"/>
        </w:rPr>
        <w:t>at all times</w:t>
      </w:r>
      <w:proofErr w:type="gramEnd"/>
      <w:r w:rsidR="00030ECE">
        <w:rPr>
          <w:sz w:val="24"/>
          <w:szCs w:val="24"/>
        </w:rPr>
        <w:t xml:space="preserve">. The Provider is </w:t>
      </w:r>
      <w:r w:rsidR="00030ECE">
        <w:rPr>
          <w:sz w:val="24"/>
          <w:szCs w:val="24"/>
        </w:rPr>
        <w:lastRenderedPageBreak/>
        <w:t>encouraged to work towards becoming SAFE accredited (</w:t>
      </w:r>
      <w:hyperlink r:id="rId15" w:history="1">
        <w:r w:rsidR="00030ECE" w:rsidRPr="007E698A">
          <w:rPr>
            <w:rStyle w:val="Hyperlink"/>
            <w:sz w:val="24"/>
            <w:szCs w:val="24"/>
          </w:rPr>
          <w:t>www.safebanes.com</w:t>
        </w:r>
      </w:hyperlink>
      <w:r w:rsidR="00030ECE">
        <w:rPr>
          <w:sz w:val="24"/>
          <w:szCs w:val="24"/>
        </w:rPr>
        <w:t xml:space="preserve">) during the duration of this contract </w:t>
      </w:r>
    </w:p>
    <w:p w14:paraId="0E253A86" w14:textId="5282A251" w:rsidR="00CF5926" w:rsidRDefault="00CF5926" w:rsidP="00155AF5">
      <w:pPr>
        <w:pStyle w:val="Para-1stLevel"/>
        <w:numPr>
          <w:ilvl w:val="1"/>
          <w:numId w:val="5"/>
        </w:numPr>
        <w:rPr>
          <w:sz w:val="24"/>
          <w:szCs w:val="24"/>
        </w:rPr>
      </w:pPr>
      <w:r>
        <w:rPr>
          <w:sz w:val="24"/>
          <w:szCs w:val="24"/>
        </w:rPr>
        <w:t>The Provider should ens</w:t>
      </w:r>
      <w:r w:rsidRPr="00CF5926">
        <w:rPr>
          <w:sz w:val="24"/>
          <w:szCs w:val="24"/>
        </w:rPr>
        <w:t xml:space="preserve">ure, where appropriate, that the patient is </w:t>
      </w:r>
      <w:r w:rsidR="00747C10">
        <w:rPr>
          <w:sz w:val="24"/>
          <w:szCs w:val="24"/>
        </w:rPr>
        <w:t>informed</w:t>
      </w:r>
      <w:r w:rsidR="00747C10" w:rsidRPr="00CF5926">
        <w:rPr>
          <w:sz w:val="24"/>
          <w:szCs w:val="24"/>
        </w:rPr>
        <w:t xml:space="preserve"> </w:t>
      </w:r>
      <w:r w:rsidRPr="00CF5926">
        <w:rPr>
          <w:sz w:val="24"/>
          <w:szCs w:val="24"/>
        </w:rPr>
        <w:t>on other sexual health</w:t>
      </w:r>
      <w:r>
        <w:rPr>
          <w:sz w:val="24"/>
          <w:szCs w:val="24"/>
        </w:rPr>
        <w:t xml:space="preserve"> </w:t>
      </w:r>
      <w:r w:rsidRPr="00CF5926">
        <w:rPr>
          <w:sz w:val="24"/>
          <w:szCs w:val="24"/>
        </w:rPr>
        <w:t>matters and related topics. Where required, provide support</w:t>
      </w:r>
      <w:r>
        <w:rPr>
          <w:sz w:val="24"/>
          <w:szCs w:val="24"/>
        </w:rPr>
        <w:t xml:space="preserve">, </w:t>
      </w:r>
      <w:r w:rsidRPr="00CF5926">
        <w:rPr>
          <w:sz w:val="24"/>
          <w:szCs w:val="24"/>
        </w:rPr>
        <w:t>advice</w:t>
      </w:r>
      <w:r>
        <w:rPr>
          <w:sz w:val="24"/>
          <w:szCs w:val="24"/>
        </w:rPr>
        <w:t xml:space="preserve"> and information</w:t>
      </w:r>
      <w:r w:rsidRPr="00CF5926">
        <w:rPr>
          <w:sz w:val="24"/>
          <w:szCs w:val="24"/>
        </w:rPr>
        <w:t xml:space="preserve"> to </w:t>
      </w:r>
      <w:r>
        <w:rPr>
          <w:sz w:val="24"/>
          <w:szCs w:val="24"/>
        </w:rPr>
        <w:t xml:space="preserve">women </w:t>
      </w:r>
      <w:r w:rsidRPr="00CF5926">
        <w:rPr>
          <w:sz w:val="24"/>
          <w:szCs w:val="24"/>
        </w:rPr>
        <w:t>accessing the service, including safe</w:t>
      </w:r>
      <w:r>
        <w:rPr>
          <w:sz w:val="24"/>
          <w:szCs w:val="24"/>
        </w:rPr>
        <w:t>r</w:t>
      </w:r>
      <w:r w:rsidRPr="00CF5926">
        <w:rPr>
          <w:sz w:val="24"/>
          <w:szCs w:val="24"/>
        </w:rPr>
        <w:t xml:space="preserve"> sex, condom use </w:t>
      </w:r>
      <w:r>
        <w:rPr>
          <w:sz w:val="24"/>
          <w:szCs w:val="24"/>
        </w:rPr>
        <w:t xml:space="preserve">and </w:t>
      </w:r>
      <w:r w:rsidRPr="00CF5926">
        <w:rPr>
          <w:sz w:val="24"/>
          <w:szCs w:val="24"/>
        </w:rPr>
        <w:t>use of alternative contraceptive methods</w:t>
      </w:r>
    </w:p>
    <w:p w14:paraId="620D96C0" w14:textId="118DA0E8" w:rsidR="00155AF5" w:rsidRPr="00155AF5" w:rsidRDefault="00155AF5" w:rsidP="00155AF5">
      <w:pPr>
        <w:pStyle w:val="Para-1stLevel"/>
        <w:numPr>
          <w:ilvl w:val="1"/>
          <w:numId w:val="5"/>
        </w:numPr>
        <w:rPr>
          <w:sz w:val="24"/>
          <w:szCs w:val="24"/>
        </w:rPr>
      </w:pPr>
      <w:r>
        <w:rPr>
          <w:sz w:val="24"/>
          <w:szCs w:val="24"/>
        </w:rPr>
        <w:t>The Provider should h</w:t>
      </w:r>
      <w:r w:rsidRPr="00155AF5">
        <w:rPr>
          <w:sz w:val="24"/>
          <w:szCs w:val="24"/>
        </w:rPr>
        <w:t>ave adequate mechanisms and facilities, including premises and equipment, as</w:t>
      </w:r>
      <w:r>
        <w:rPr>
          <w:sz w:val="24"/>
          <w:szCs w:val="24"/>
        </w:rPr>
        <w:t xml:space="preserve"> </w:t>
      </w:r>
      <w:r w:rsidRPr="00155AF5">
        <w:rPr>
          <w:sz w:val="24"/>
          <w:szCs w:val="24"/>
        </w:rPr>
        <w:t>are necessary to enable the proper provision of this service. The premises should</w:t>
      </w:r>
      <w:r>
        <w:rPr>
          <w:sz w:val="24"/>
          <w:szCs w:val="24"/>
        </w:rPr>
        <w:t xml:space="preserve"> </w:t>
      </w:r>
      <w:r w:rsidRPr="00155AF5">
        <w:rPr>
          <w:sz w:val="24"/>
          <w:szCs w:val="24"/>
        </w:rPr>
        <w:t>provide an acceptable level of privacy to respect a patient’s right to confidentiality</w:t>
      </w:r>
      <w:r>
        <w:rPr>
          <w:sz w:val="24"/>
          <w:szCs w:val="24"/>
        </w:rPr>
        <w:t xml:space="preserve"> </w:t>
      </w:r>
      <w:r w:rsidRPr="00155AF5">
        <w:rPr>
          <w:sz w:val="24"/>
          <w:szCs w:val="24"/>
        </w:rPr>
        <w:t>and safety</w:t>
      </w:r>
    </w:p>
    <w:p w14:paraId="26B94392" w14:textId="7D26783A" w:rsidR="00155AF5" w:rsidRPr="00155AF5" w:rsidRDefault="00155AF5" w:rsidP="00155AF5">
      <w:pPr>
        <w:pStyle w:val="Para-1stLevel"/>
        <w:numPr>
          <w:ilvl w:val="1"/>
          <w:numId w:val="5"/>
        </w:numPr>
        <w:rPr>
          <w:sz w:val="24"/>
          <w:szCs w:val="24"/>
        </w:rPr>
      </w:pPr>
      <w:r>
        <w:rPr>
          <w:sz w:val="24"/>
          <w:szCs w:val="24"/>
        </w:rPr>
        <w:t>The Provider should e</w:t>
      </w:r>
      <w:r w:rsidRPr="00155AF5">
        <w:rPr>
          <w:sz w:val="24"/>
          <w:szCs w:val="24"/>
        </w:rPr>
        <w:t>nsure the special equipment for the fitting of LARC devices is available as</w:t>
      </w:r>
      <w:r>
        <w:rPr>
          <w:sz w:val="24"/>
          <w:szCs w:val="24"/>
        </w:rPr>
        <w:t xml:space="preserve"> </w:t>
      </w:r>
      <w:r w:rsidRPr="00155AF5">
        <w:rPr>
          <w:sz w:val="24"/>
          <w:szCs w:val="24"/>
        </w:rPr>
        <w:t>required. This includes the provision of a suitable room with couch and sufficient</w:t>
      </w:r>
      <w:r>
        <w:rPr>
          <w:sz w:val="24"/>
          <w:szCs w:val="24"/>
        </w:rPr>
        <w:t xml:space="preserve"> </w:t>
      </w:r>
      <w:r w:rsidRPr="00155AF5">
        <w:rPr>
          <w:sz w:val="24"/>
          <w:szCs w:val="24"/>
        </w:rPr>
        <w:t>space and equipment for resuscitation. Suitable equipment for insertion and</w:t>
      </w:r>
      <w:r>
        <w:rPr>
          <w:sz w:val="24"/>
          <w:szCs w:val="24"/>
        </w:rPr>
        <w:t xml:space="preserve"> </w:t>
      </w:r>
      <w:r w:rsidRPr="00155AF5">
        <w:rPr>
          <w:sz w:val="24"/>
          <w:szCs w:val="24"/>
        </w:rPr>
        <w:t>removal needs to be provided as well as the facility for local anaesthesia to be</w:t>
      </w:r>
      <w:r>
        <w:rPr>
          <w:sz w:val="24"/>
          <w:szCs w:val="24"/>
        </w:rPr>
        <w:t xml:space="preserve"> administered</w:t>
      </w:r>
    </w:p>
    <w:p w14:paraId="1C22B626" w14:textId="1B3E865A" w:rsidR="00155AF5" w:rsidRPr="00155AF5" w:rsidRDefault="00155AF5" w:rsidP="00155AF5">
      <w:pPr>
        <w:pStyle w:val="Para-1stLevel"/>
        <w:numPr>
          <w:ilvl w:val="1"/>
          <w:numId w:val="5"/>
        </w:numPr>
        <w:rPr>
          <w:sz w:val="24"/>
          <w:szCs w:val="24"/>
        </w:rPr>
      </w:pPr>
      <w:r>
        <w:rPr>
          <w:sz w:val="24"/>
          <w:szCs w:val="24"/>
        </w:rPr>
        <w:t xml:space="preserve">The Provider should use </w:t>
      </w:r>
      <w:r w:rsidRPr="00155AF5">
        <w:rPr>
          <w:sz w:val="24"/>
          <w:szCs w:val="24"/>
        </w:rPr>
        <w:t>professional judgement to consider, and where appropriate, act on any</w:t>
      </w:r>
      <w:r>
        <w:rPr>
          <w:sz w:val="24"/>
          <w:szCs w:val="24"/>
        </w:rPr>
        <w:t xml:space="preserve"> </w:t>
      </w:r>
      <w:r w:rsidRPr="00155AF5">
        <w:rPr>
          <w:sz w:val="24"/>
          <w:szCs w:val="24"/>
        </w:rPr>
        <w:t xml:space="preserve">safeguarding issues coming to their attention </w:t>
      </w:r>
      <w:proofErr w:type="gramStart"/>
      <w:r w:rsidRPr="00155AF5">
        <w:rPr>
          <w:sz w:val="24"/>
          <w:szCs w:val="24"/>
        </w:rPr>
        <w:t>as a result of</w:t>
      </w:r>
      <w:proofErr w:type="gramEnd"/>
      <w:r w:rsidRPr="00155AF5">
        <w:rPr>
          <w:sz w:val="24"/>
          <w:szCs w:val="24"/>
        </w:rPr>
        <w:t xml:space="preserve"> providing the</w:t>
      </w:r>
      <w:r>
        <w:rPr>
          <w:sz w:val="24"/>
          <w:szCs w:val="24"/>
        </w:rPr>
        <w:t xml:space="preserve"> </w:t>
      </w:r>
      <w:r w:rsidRPr="00155AF5">
        <w:rPr>
          <w:sz w:val="24"/>
          <w:szCs w:val="24"/>
        </w:rPr>
        <w:t xml:space="preserve">service. This shall be in line with local safeguarding procedures </w:t>
      </w:r>
      <w:r w:rsidR="003A4263">
        <w:rPr>
          <w:sz w:val="24"/>
          <w:szCs w:val="24"/>
        </w:rPr>
        <w:t>including</w:t>
      </w:r>
      <w:r w:rsidRPr="00155AF5">
        <w:rPr>
          <w:sz w:val="24"/>
          <w:szCs w:val="24"/>
        </w:rPr>
        <w:t xml:space="preserve"> any</w:t>
      </w:r>
      <w:r>
        <w:rPr>
          <w:sz w:val="24"/>
          <w:szCs w:val="24"/>
        </w:rPr>
        <w:t xml:space="preserve"> </w:t>
      </w:r>
      <w:r w:rsidRPr="00155AF5">
        <w:rPr>
          <w:sz w:val="24"/>
          <w:szCs w:val="24"/>
        </w:rPr>
        <w:t>national or local guidance on under 16s sexual activity.</w:t>
      </w:r>
    </w:p>
    <w:p w14:paraId="4D1D1B6F" w14:textId="76D9C791" w:rsidR="00155AF5" w:rsidRDefault="00155AF5" w:rsidP="00155AF5">
      <w:pPr>
        <w:pStyle w:val="Para-1stLevel"/>
        <w:numPr>
          <w:ilvl w:val="1"/>
          <w:numId w:val="5"/>
        </w:numPr>
        <w:rPr>
          <w:sz w:val="24"/>
          <w:szCs w:val="24"/>
        </w:rPr>
      </w:pPr>
      <w:r w:rsidRPr="00155AF5">
        <w:rPr>
          <w:sz w:val="24"/>
          <w:szCs w:val="24"/>
        </w:rPr>
        <w:t xml:space="preserve">The Sexual Offences Act 2003 states that no child under 13 years </w:t>
      </w:r>
      <w:proofErr w:type="gramStart"/>
      <w:r w:rsidRPr="00155AF5">
        <w:rPr>
          <w:sz w:val="24"/>
          <w:szCs w:val="24"/>
        </w:rPr>
        <w:t>is able to</w:t>
      </w:r>
      <w:proofErr w:type="gramEnd"/>
      <w:r w:rsidRPr="00155AF5">
        <w:rPr>
          <w:sz w:val="24"/>
          <w:szCs w:val="24"/>
        </w:rPr>
        <w:t xml:space="preserve"> consent</w:t>
      </w:r>
      <w:r>
        <w:rPr>
          <w:sz w:val="24"/>
          <w:szCs w:val="24"/>
        </w:rPr>
        <w:t xml:space="preserve"> </w:t>
      </w:r>
      <w:r w:rsidRPr="00155AF5">
        <w:rPr>
          <w:sz w:val="24"/>
          <w:szCs w:val="24"/>
        </w:rPr>
        <w:t>to any sexual activity. If the patient is believed to be under 13 years of age, providing</w:t>
      </w:r>
      <w:r>
        <w:rPr>
          <w:sz w:val="24"/>
          <w:szCs w:val="24"/>
        </w:rPr>
        <w:t xml:space="preserve"> </w:t>
      </w:r>
      <w:r w:rsidRPr="00155AF5">
        <w:rPr>
          <w:sz w:val="24"/>
          <w:szCs w:val="24"/>
        </w:rPr>
        <w:t xml:space="preserve">they have been assessed as </w:t>
      </w:r>
      <w:r>
        <w:rPr>
          <w:sz w:val="24"/>
          <w:szCs w:val="24"/>
        </w:rPr>
        <w:t>“</w:t>
      </w:r>
      <w:r w:rsidRPr="00155AF5">
        <w:rPr>
          <w:sz w:val="24"/>
          <w:szCs w:val="24"/>
        </w:rPr>
        <w:t>Fraser competent</w:t>
      </w:r>
      <w:r>
        <w:rPr>
          <w:sz w:val="24"/>
          <w:szCs w:val="24"/>
        </w:rPr>
        <w:t>”</w:t>
      </w:r>
      <w:r w:rsidRPr="00155AF5">
        <w:rPr>
          <w:sz w:val="24"/>
          <w:szCs w:val="24"/>
        </w:rPr>
        <w:t>, treatment should not be withheld</w:t>
      </w:r>
      <w:r>
        <w:rPr>
          <w:sz w:val="24"/>
          <w:szCs w:val="24"/>
        </w:rPr>
        <w:t xml:space="preserve"> </w:t>
      </w:r>
      <w:r w:rsidRPr="00155AF5">
        <w:rPr>
          <w:sz w:val="24"/>
          <w:szCs w:val="24"/>
        </w:rPr>
        <w:t>as the duty to safeguard the child from most harm</w:t>
      </w:r>
      <w:r>
        <w:rPr>
          <w:sz w:val="24"/>
          <w:szCs w:val="24"/>
        </w:rPr>
        <w:t xml:space="preserve"> </w:t>
      </w:r>
      <w:r w:rsidRPr="00155AF5">
        <w:rPr>
          <w:sz w:val="24"/>
          <w:szCs w:val="24"/>
        </w:rPr>
        <w:t>would include unintended</w:t>
      </w:r>
      <w:r>
        <w:rPr>
          <w:sz w:val="24"/>
          <w:szCs w:val="24"/>
        </w:rPr>
        <w:t xml:space="preserve"> </w:t>
      </w:r>
      <w:r w:rsidRPr="00155AF5">
        <w:rPr>
          <w:sz w:val="24"/>
          <w:szCs w:val="24"/>
        </w:rPr>
        <w:t>pregnancy. All the details of the consultation must be recorded and discussed at</w:t>
      </w:r>
      <w:r>
        <w:rPr>
          <w:sz w:val="24"/>
          <w:szCs w:val="24"/>
        </w:rPr>
        <w:t xml:space="preserve"> </w:t>
      </w:r>
      <w:r w:rsidRPr="00155AF5">
        <w:rPr>
          <w:sz w:val="24"/>
          <w:szCs w:val="24"/>
        </w:rPr>
        <w:t>the earliest opportunity with the relevant Local Authority Safeguarding Team (or</w:t>
      </w:r>
      <w:r>
        <w:rPr>
          <w:sz w:val="24"/>
          <w:szCs w:val="24"/>
        </w:rPr>
        <w:t xml:space="preserve"> </w:t>
      </w:r>
      <w:r w:rsidRPr="00155AF5">
        <w:rPr>
          <w:sz w:val="24"/>
          <w:szCs w:val="24"/>
        </w:rPr>
        <w:t>Child Care Duty Team out of hours). In an emergency, the police can be contacted</w:t>
      </w:r>
    </w:p>
    <w:p w14:paraId="16460D13" w14:textId="55048F8A" w:rsidR="00155AF5" w:rsidRPr="00155AF5" w:rsidRDefault="00155AF5" w:rsidP="00155AF5">
      <w:pPr>
        <w:pStyle w:val="Para-1stLevel"/>
        <w:numPr>
          <w:ilvl w:val="1"/>
          <w:numId w:val="5"/>
        </w:numPr>
        <w:rPr>
          <w:sz w:val="24"/>
          <w:szCs w:val="24"/>
        </w:rPr>
      </w:pPr>
      <w:r>
        <w:rPr>
          <w:sz w:val="24"/>
          <w:szCs w:val="24"/>
        </w:rPr>
        <w:t>The Provider should fol</w:t>
      </w:r>
      <w:r w:rsidRPr="00155AF5">
        <w:rPr>
          <w:sz w:val="24"/>
          <w:szCs w:val="24"/>
        </w:rPr>
        <w:t>low infection control policies that are compliant with national and local</w:t>
      </w:r>
      <w:r>
        <w:rPr>
          <w:sz w:val="24"/>
          <w:szCs w:val="24"/>
        </w:rPr>
        <w:t xml:space="preserve"> </w:t>
      </w:r>
      <w:r w:rsidRPr="00155AF5">
        <w:rPr>
          <w:sz w:val="24"/>
          <w:szCs w:val="24"/>
        </w:rPr>
        <w:t>guidelines</w:t>
      </w:r>
    </w:p>
    <w:p w14:paraId="1BD3B2EE" w14:textId="56B72BF9" w:rsidR="00155AF5" w:rsidRDefault="00155AF5" w:rsidP="00155AF5">
      <w:pPr>
        <w:pStyle w:val="Para-1stLevel"/>
        <w:numPr>
          <w:ilvl w:val="1"/>
          <w:numId w:val="5"/>
        </w:numPr>
        <w:rPr>
          <w:sz w:val="24"/>
          <w:szCs w:val="24"/>
        </w:rPr>
      </w:pPr>
      <w:r>
        <w:rPr>
          <w:sz w:val="24"/>
          <w:szCs w:val="24"/>
        </w:rPr>
        <w:t>The Provider should</w:t>
      </w:r>
      <w:r w:rsidRPr="00155AF5">
        <w:rPr>
          <w:sz w:val="24"/>
          <w:szCs w:val="24"/>
        </w:rPr>
        <w:t xml:space="preserve"> </w:t>
      </w:r>
      <w:r>
        <w:rPr>
          <w:sz w:val="24"/>
          <w:szCs w:val="24"/>
        </w:rPr>
        <w:t>e</w:t>
      </w:r>
      <w:r w:rsidRPr="00155AF5">
        <w:rPr>
          <w:sz w:val="24"/>
          <w:szCs w:val="24"/>
        </w:rPr>
        <w:t>nsure that there is a robust system of reporting adverse incidents or serious</w:t>
      </w:r>
      <w:r>
        <w:rPr>
          <w:sz w:val="24"/>
          <w:szCs w:val="24"/>
        </w:rPr>
        <w:t xml:space="preserve"> </w:t>
      </w:r>
      <w:r w:rsidRPr="00155AF5">
        <w:rPr>
          <w:sz w:val="24"/>
          <w:szCs w:val="24"/>
        </w:rPr>
        <w:t>untoward incidents, that all incidents are documented, investigated and followed up</w:t>
      </w:r>
      <w:r>
        <w:rPr>
          <w:sz w:val="24"/>
          <w:szCs w:val="24"/>
        </w:rPr>
        <w:t xml:space="preserve"> </w:t>
      </w:r>
      <w:r w:rsidRPr="00155AF5">
        <w:rPr>
          <w:sz w:val="24"/>
          <w:szCs w:val="24"/>
        </w:rPr>
        <w:t>with appropriate action and that any lessons learnt from incidents are shared across</w:t>
      </w:r>
      <w:r>
        <w:rPr>
          <w:sz w:val="24"/>
          <w:szCs w:val="24"/>
        </w:rPr>
        <w:t xml:space="preserve"> </w:t>
      </w:r>
      <w:r w:rsidRPr="00155AF5">
        <w:rPr>
          <w:sz w:val="24"/>
          <w:szCs w:val="24"/>
        </w:rPr>
        <w:t>the Provider’s organisation. Any adverse incidents that occur must be reported</w:t>
      </w:r>
      <w:r>
        <w:rPr>
          <w:sz w:val="24"/>
          <w:szCs w:val="24"/>
        </w:rPr>
        <w:t xml:space="preserve"> </w:t>
      </w:r>
      <w:r w:rsidRPr="00155AF5">
        <w:rPr>
          <w:sz w:val="24"/>
          <w:szCs w:val="24"/>
        </w:rPr>
        <w:t>according to general policy/guidance for clinical incident reporting</w:t>
      </w:r>
    </w:p>
    <w:p w14:paraId="30BF7335" w14:textId="67D3F8B0" w:rsidR="00797DD7" w:rsidRDefault="00155AF5" w:rsidP="00F937D2">
      <w:pPr>
        <w:pStyle w:val="Para-1stLevel"/>
        <w:numPr>
          <w:ilvl w:val="1"/>
          <w:numId w:val="5"/>
        </w:numPr>
        <w:rPr>
          <w:sz w:val="24"/>
          <w:szCs w:val="24"/>
        </w:rPr>
      </w:pPr>
      <w:r>
        <w:rPr>
          <w:sz w:val="24"/>
          <w:szCs w:val="24"/>
        </w:rPr>
        <w:t xml:space="preserve">The Provider should ensure the service has </w:t>
      </w:r>
      <w:r w:rsidRPr="00155AF5">
        <w:rPr>
          <w:sz w:val="24"/>
          <w:szCs w:val="24"/>
        </w:rPr>
        <w:t>access to an appropriate electronic patient record system</w:t>
      </w:r>
      <w:r>
        <w:rPr>
          <w:sz w:val="24"/>
          <w:szCs w:val="24"/>
        </w:rPr>
        <w:t xml:space="preserve">. If </w:t>
      </w:r>
      <w:r w:rsidRPr="00155AF5">
        <w:rPr>
          <w:sz w:val="24"/>
          <w:szCs w:val="24"/>
        </w:rPr>
        <w:t>the Provider cannot enter the information on the electronic patient record system</w:t>
      </w:r>
      <w:r>
        <w:rPr>
          <w:sz w:val="24"/>
          <w:szCs w:val="24"/>
        </w:rPr>
        <w:t xml:space="preserve"> at </w:t>
      </w:r>
      <w:r w:rsidRPr="00155AF5">
        <w:rPr>
          <w:sz w:val="24"/>
          <w:szCs w:val="24"/>
        </w:rPr>
        <w:t>the time of the consultation, the information shall be recorded as possible after</w:t>
      </w:r>
      <w:r>
        <w:rPr>
          <w:sz w:val="24"/>
          <w:szCs w:val="24"/>
        </w:rPr>
        <w:t xml:space="preserve"> </w:t>
      </w:r>
      <w:r w:rsidRPr="00155AF5">
        <w:rPr>
          <w:sz w:val="24"/>
          <w:szCs w:val="24"/>
        </w:rPr>
        <w:t>the consultation</w:t>
      </w:r>
    </w:p>
    <w:p w14:paraId="49F86CAD" w14:textId="77777777" w:rsidR="00F937D2" w:rsidRDefault="00F937D2" w:rsidP="00F937D2">
      <w:pPr>
        <w:pStyle w:val="Para-1stLevel"/>
        <w:numPr>
          <w:ilvl w:val="0"/>
          <w:numId w:val="0"/>
        </w:numPr>
        <w:ind w:left="786"/>
        <w:rPr>
          <w:sz w:val="24"/>
          <w:szCs w:val="24"/>
        </w:rPr>
      </w:pPr>
    </w:p>
    <w:p w14:paraId="39A3BCBB" w14:textId="77777777" w:rsidR="00927FCD" w:rsidRPr="00F937D2" w:rsidRDefault="00927FCD" w:rsidP="00F937D2">
      <w:pPr>
        <w:pStyle w:val="Para-1stLevel"/>
        <w:numPr>
          <w:ilvl w:val="0"/>
          <w:numId w:val="0"/>
        </w:numPr>
        <w:ind w:left="786"/>
        <w:rPr>
          <w:sz w:val="24"/>
          <w:szCs w:val="24"/>
        </w:rPr>
      </w:pPr>
    </w:p>
    <w:p w14:paraId="27E2B31C" w14:textId="1093C9B1" w:rsidR="00797DD7" w:rsidRPr="00F937D2" w:rsidRDefault="00797DD7" w:rsidP="00797DD7">
      <w:pPr>
        <w:pStyle w:val="Para-1stLevel"/>
        <w:rPr>
          <w:b/>
          <w:bCs/>
          <w:iCs/>
          <w:sz w:val="24"/>
          <w:szCs w:val="24"/>
        </w:rPr>
      </w:pPr>
      <w:r w:rsidRPr="00F937D2">
        <w:rPr>
          <w:b/>
          <w:bCs/>
          <w:iCs/>
          <w:sz w:val="24"/>
          <w:szCs w:val="24"/>
        </w:rPr>
        <w:t>Service availability</w:t>
      </w:r>
    </w:p>
    <w:p w14:paraId="096AD1E7" w14:textId="4BFCBAF6" w:rsidR="00797DD7" w:rsidRPr="00F365CE" w:rsidRDefault="00797DD7" w:rsidP="00797DD7">
      <w:pPr>
        <w:pStyle w:val="Para-1stLevel"/>
        <w:numPr>
          <w:ilvl w:val="1"/>
          <w:numId w:val="5"/>
        </w:numPr>
        <w:rPr>
          <w:sz w:val="24"/>
          <w:szCs w:val="24"/>
        </w:rPr>
      </w:pPr>
      <w:r w:rsidRPr="00F365CE">
        <w:rPr>
          <w:sz w:val="24"/>
          <w:szCs w:val="24"/>
        </w:rPr>
        <w:t>The Provider should ensure the service is open access and available to all female patients requiring contraception who are residents of Bath and North East Somerset. This includes patients who are not registered with your practice. In these cases, the service can be delivered under 'immediate necessary treatment registration' with outcomes returned to the patient’s GP</w:t>
      </w:r>
    </w:p>
    <w:p w14:paraId="399D4CA7" w14:textId="35654FEA" w:rsidR="00797DD7" w:rsidRPr="00797DD7" w:rsidRDefault="00797DD7" w:rsidP="00797DD7">
      <w:pPr>
        <w:pStyle w:val="Para-1stLevel"/>
        <w:numPr>
          <w:ilvl w:val="1"/>
          <w:numId w:val="5"/>
        </w:numPr>
        <w:rPr>
          <w:sz w:val="24"/>
          <w:szCs w:val="24"/>
        </w:rPr>
      </w:pPr>
      <w:r>
        <w:rPr>
          <w:sz w:val="24"/>
          <w:szCs w:val="24"/>
        </w:rPr>
        <w:t xml:space="preserve">The Provider should endeavour to </w:t>
      </w:r>
      <w:r w:rsidRPr="00155AF5">
        <w:rPr>
          <w:sz w:val="24"/>
          <w:szCs w:val="24"/>
        </w:rPr>
        <w:t xml:space="preserve">promote the availability of </w:t>
      </w:r>
      <w:r>
        <w:rPr>
          <w:sz w:val="24"/>
          <w:szCs w:val="24"/>
        </w:rPr>
        <w:t>the</w:t>
      </w:r>
      <w:r w:rsidRPr="00155AF5">
        <w:rPr>
          <w:sz w:val="24"/>
          <w:szCs w:val="24"/>
        </w:rPr>
        <w:t xml:space="preserve"> LARC service as appropriate</w:t>
      </w:r>
    </w:p>
    <w:p w14:paraId="0414A5CA" w14:textId="44F82904" w:rsidR="00797DD7" w:rsidRDefault="00797DD7" w:rsidP="00797DD7">
      <w:pPr>
        <w:pStyle w:val="Para-1stLevel"/>
        <w:numPr>
          <w:ilvl w:val="1"/>
          <w:numId w:val="5"/>
        </w:numPr>
        <w:rPr>
          <w:sz w:val="24"/>
          <w:szCs w:val="24"/>
        </w:rPr>
      </w:pPr>
      <w:r w:rsidRPr="00F365CE">
        <w:rPr>
          <w:sz w:val="24"/>
          <w:szCs w:val="24"/>
        </w:rPr>
        <w:t xml:space="preserve">The Provider should </w:t>
      </w:r>
      <w:r w:rsidR="00B24D1D" w:rsidRPr="00F365CE">
        <w:rPr>
          <w:sz w:val="24"/>
          <w:szCs w:val="24"/>
        </w:rPr>
        <w:t xml:space="preserve">ensure </w:t>
      </w:r>
      <w:r w:rsidRPr="00F365CE">
        <w:rPr>
          <w:sz w:val="24"/>
          <w:szCs w:val="24"/>
        </w:rPr>
        <w:t xml:space="preserve">sufficient appointments are available for women to be seen within </w:t>
      </w:r>
      <w:r w:rsidR="00B24D1D" w:rsidRPr="00F365CE">
        <w:rPr>
          <w:sz w:val="24"/>
          <w:szCs w:val="24"/>
        </w:rPr>
        <w:t>4</w:t>
      </w:r>
      <w:r w:rsidRPr="00F365CE">
        <w:rPr>
          <w:sz w:val="24"/>
          <w:szCs w:val="24"/>
        </w:rPr>
        <w:t xml:space="preserve"> weeks</w:t>
      </w:r>
    </w:p>
    <w:p w14:paraId="0610B7BD" w14:textId="406E2862" w:rsidR="00F365CE" w:rsidRPr="00F365CE" w:rsidRDefault="00F365CE" w:rsidP="00797DD7">
      <w:pPr>
        <w:pStyle w:val="Para-1stLevel"/>
        <w:numPr>
          <w:ilvl w:val="1"/>
          <w:numId w:val="5"/>
        </w:numPr>
        <w:rPr>
          <w:sz w:val="24"/>
          <w:szCs w:val="24"/>
        </w:rPr>
      </w:pPr>
      <w:r>
        <w:rPr>
          <w:sz w:val="24"/>
          <w:szCs w:val="24"/>
        </w:rPr>
        <w:t xml:space="preserve">The </w:t>
      </w:r>
      <w:r w:rsidRPr="00F365CE">
        <w:rPr>
          <w:sz w:val="24"/>
          <w:szCs w:val="24"/>
        </w:rPr>
        <w:t>Provider shall notify the Commissioner in the event of significant waiting times for patients</w:t>
      </w:r>
      <w:r w:rsidRPr="009358B4">
        <w:rPr>
          <w:sz w:val="24"/>
          <w:szCs w:val="24"/>
        </w:rPr>
        <w:t xml:space="preserve"> to access the LARC service by emailing the Commissioner at </w:t>
      </w:r>
      <w:hyperlink r:id="rId16" w:history="1">
        <w:r w:rsidRPr="00184668">
          <w:rPr>
            <w:rStyle w:val="Hyperlink"/>
            <w:sz w:val="24"/>
            <w:szCs w:val="24"/>
          </w:rPr>
          <w:t>Public_Health@bathnes.gov.uk</w:t>
        </w:r>
      </w:hyperlink>
    </w:p>
    <w:p w14:paraId="0CD8CD03" w14:textId="77777777" w:rsidR="00EE5637" w:rsidRPr="009358B4" w:rsidRDefault="00EE5637" w:rsidP="009358B4">
      <w:pPr>
        <w:pStyle w:val="Para-1stLevel"/>
        <w:numPr>
          <w:ilvl w:val="0"/>
          <w:numId w:val="0"/>
        </w:numPr>
        <w:rPr>
          <w:iCs/>
          <w:sz w:val="24"/>
          <w:szCs w:val="24"/>
        </w:rPr>
      </w:pPr>
    </w:p>
    <w:p w14:paraId="044D7B90" w14:textId="2E9D7617" w:rsidR="00CC0826" w:rsidRPr="00F365CE" w:rsidRDefault="00797DD7" w:rsidP="00CC0826">
      <w:pPr>
        <w:pStyle w:val="ReportHeading"/>
        <w:rPr>
          <w:sz w:val="24"/>
          <w:szCs w:val="24"/>
        </w:rPr>
      </w:pPr>
      <w:r w:rsidRPr="00F365CE">
        <w:rPr>
          <w:sz w:val="24"/>
          <w:szCs w:val="24"/>
        </w:rPr>
        <w:t>A</w:t>
      </w:r>
      <w:r w:rsidR="00186428">
        <w:rPr>
          <w:sz w:val="24"/>
          <w:szCs w:val="24"/>
        </w:rPr>
        <w:t>ny</w:t>
      </w:r>
      <w:r w:rsidRPr="00F365CE">
        <w:rPr>
          <w:sz w:val="24"/>
          <w:szCs w:val="24"/>
        </w:rPr>
        <w:t xml:space="preserve"> acceptance and exclusion criteria </w:t>
      </w:r>
    </w:p>
    <w:p w14:paraId="03060362" w14:textId="739A4CCA" w:rsidR="00CC0826" w:rsidRPr="00F365CE" w:rsidRDefault="00CC0826" w:rsidP="00CC0826">
      <w:pPr>
        <w:pStyle w:val="Para-1stLevel"/>
      </w:pPr>
      <w:r w:rsidRPr="00CC0826">
        <w:rPr>
          <w:sz w:val="24"/>
          <w:szCs w:val="24"/>
        </w:rPr>
        <w:t xml:space="preserve">Women </w:t>
      </w:r>
      <w:r>
        <w:rPr>
          <w:sz w:val="24"/>
          <w:szCs w:val="24"/>
        </w:rPr>
        <w:t xml:space="preserve">who are </w:t>
      </w:r>
      <w:r w:rsidRPr="00CC0826">
        <w:rPr>
          <w:sz w:val="24"/>
          <w:szCs w:val="24"/>
        </w:rPr>
        <w:t>contraindicated</w:t>
      </w:r>
      <w:r>
        <w:rPr>
          <w:sz w:val="24"/>
          <w:szCs w:val="24"/>
        </w:rPr>
        <w:t xml:space="preserve"> for IUD/IUS and/or SDI fit</w:t>
      </w:r>
      <w:r w:rsidRPr="00CC0826">
        <w:rPr>
          <w:sz w:val="24"/>
          <w:szCs w:val="24"/>
        </w:rPr>
        <w:t xml:space="preserve"> will be excluded from the service.  Such women must be offered a choice of alternative suitable methods of contraception</w:t>
      </w:r>
      <w:r>
        <w:rPr>
          <w:sz w:val="24"/>
          <w:szCs w:val="24"/>
        </w:rPr>
        <w:t xml:space="preserve">. Complex cases can be referred to Riverside Clinic as detailed in Section </w:t>
      </w:r>
      <w:r w:rsidR="00B24D1D">
        <w:rPr>
          <w:sz w:val="24"/>
          <w:szCs w:val="24"/>
        </w:rPr>
        <w:t>2.3</w:t>
      </w:r>
      <w:r>
        <w:rPr>
          <w:sz w:val="24"/>
          <w:szCs w:val="24"/>
        </w:rPr>
        <w:t xml:space="preserve"> above</w:t>
      </w:r>
    </w:p>
    <w:p w14:paraId="26215AA9" w14:textId="17848B2D" w:rsidR="00B24D1D" w:rsidRPr="00B24D1D" w:rsidRDefault="00B24D1D" w:rsidP="00B24D1D">
      <w:pPr>
        <w:pStyle w:val="Para-1stLevel"/>
        <w:rPr>
          <w:sz w:val="24"/>
          <w:szCs w:val="24"/>
        </w:rPr>
      </w:pPr>
      <w:r w:rsidRPr="00F365CE">
        <w:rPr>
          <w:sz w:val="24"/>
          <w:szCs w:val="24"/>
        </w:rPr>
        <w:t xml:space="preserve">The Provider </w:t>
      </w:r>
      <w:r>
        <w:rPr>
          <w:sz w:val="24"/>
          <w:szCs w:val="24"/>
        </w:rPr>
        <w:t xml:space="preserve">will accept </w:t>
      </w:r>
      <w:proofErr w:type="spellStart"/>
      <w:r>
        <w:rPr>
          <w:sz w:val="24"/>
          <w:szCs w:val="24"/>
        </w:rPr>
        <w:t>self referrals</w:t>
      </w:r>
      <w:proofErr w:type="spellEnd"/>
      <w:r>
        <w:rPr>
          <w:sz w:val="24"/>
          <w:szCs w:val="24"/>
        </w:rPr>
        <w:t xml:space="preserve"> from registered patients</w:t>
      </w:r>
    </w:p>
    <w:p w14:paraId="1A585ECF" w14:textId="2067855F" w:rsidR="00B24D1D" w:rsidRDefault="00B24D1D" w:rsidP="00CC0826">
      <w:pPr>
        <w:pStyle w:val="Para-1stLevel"/>
        <w:rPr>
          <w:sz w:val="24"/>
          <w:szCs w:val="24"/>
        </w:rPr>
      </w:pPr>
      <w:r>
        <w:rPr>
          <w:sz w:val="24"/>
          <w:szCs w:val="24"/>
        </w:rPr>
        <w:t>The Provider will accept referrals for other general practices located in Bath and North East Somerset if this has been agreed with the referring practice. If this is agreed, the Provider should ensure sufficient appointments are available so that women can be seen within 4 weeks of the referral</w:t>
      </w:r>
      <w:r w:rsidR="00747C10">
        <w:rPr>
          <w:sz w:val="24"/>
          <w:szCs w:val="24"/>
        </w:rPr>
        <w:t>. Clinical responsibility is detailed in section 2.3 above</w:t>
      </w:r>
    </w:p>
    <w:p w14:paraId="79BC7E73" w14:textId="77777777" w:rsidR="00B94D83" w:rsidRPr="00972F4A" w:rsidRDefault="00B94D83" w:rsidP="0062034F">
      <w:pPr>
        <w:pStyle w:val="Para-1stLevel"/>
        <w:numPr>
          <w:ilvl w:val="0"/>
          <w:numId w:val="0"/>
        </w:numPr>
        <w:rPr>
          <w:highlight w:val="yellow"/>
        </w:rPr>
      </w:pPr>
    </w:p>
    <w:p w14:paraId="78125FEA" w14:textId="4A9F9E1F" w:rsidR="001F6F51" w:rsidRPr="00F365CE" w:rsidRDefault="001F6F51" w:rsidP="001F6F51">
      <w:pPr>
        <w:pStyle w:val="ReportHeading"/>
        <w:rPr>
          <w:sz w:val="24"/>
          <w:szCs w:val="24"/>
        </w:rPr>
      </w:pPr>
      <w:r w:rsidRPr="00F365CE">
        <w:rPr>
          <w:sz w:val="24"/>
          <w:szCs w:val="24"/>
        </w:rPr>
        <w:t>SUPPLY OF LARC DEVICES</w:t>
      </w:r>
    </w:p>
    <w:p w14:paraId="6881DAD5" w14:textId="11EDD5A4" w:rsidR="00797DD7" w:rsidRDefault="00797DD7" w:rsidP="00797DD7">
      <w:pPr>
        <w:pStyle w:val="Para-1stLevel"/>
        <w:rPr>
          <w:sz w:val="24"/>
          <w:szCs w:val="24"/>
        </w:rPr>
      </w:pPr>
      <w:r w:rsidRPr="00797DD7">
        <w:rPr>
          <w:sz w:val="24"/>
          <w:szCs w:val="24"/>
        </w:rPr>
        <w:t>The Provider shall always keep in stock, and therefore be able to supply, the full</w:t>
      </w:r>
      <w:r>
        <w:rPr>
          <w:sz w:val="24"/>
          <w:szCs w:val="24"/>
        </w:rPr>
        <w:t xml:space="preserve"> </w:t>
      </w:r>
      <w:r w:rsidRPr="00797DD7">
        <w:rPr>
          <w:sz w:val="24"/>
          <w:szCs w:val="24"/>
        </w:rPr>
        <w:t xml:space="preserve">choice of IUD/IUS </w:t>
      </w:r>
      <w:r>
        <w:rPr>
          <w:sz w:val="24"/>
          <w:szCs w:val="24"/>
        </w:rPr>
        <w:t xml:space="preserve">and SDI </w:t>
      </w:r>
      <w:r w:rsidRPr="00797DD7">
        <w:rPr>
          <w:sz w:val="24"/>
          <w:szCs w:val="24"/>
        </w:rPr>
        <w:t>devices</w:t>
      </w:r>
    </w:p>
    <w:p w14:paraId="6C29AF79" w14:textId="167DA98E" w:rsidR="00411C96" w:rsidRDefault="00411C96" w:rsidP="00797DD7">
      <w:pPr>
        <w:pStyle w:val="Para-1stLevel"/>
        <w:rPr>
          <w:sz w:val="24"/>
          <w:szCs w:val="24"/>
        </w:rPr>
      </w:pPr>
      <w:r>
        <w:rPr>
          <w:sz w:val="24"/>
          <w:szCs w:val="24"/>
        </w:rPr>
        <w:t>IUDs/IUSs and SDIs provided to the patient as part of this service must be prescribed on FP10, but can be dispensed by the practice</w:t>
      </w:r>
    </w:p>
    <w:p w14:paraId="2F02F8CB" w14:textId="77777777" w:rsidR="00972F4A" w:rsidRDefault="00972F4A" w:rsidP="00972F4A">
      <w:pPr>
        <w:pStyle w:val="Para-1stLevel"/>
        <w:numPr>
          <w:ilvl w:val="0"/>
          <w:numId w:val="0"/>
        </w:numPr>
        <w:ind w:left="858"/>
        <w:rPr>
          <w:sz w:val="24"/>
          <w:szCs w:val="24"/>
          <w:highlight w:val="yellow"/>
        </w:rPr>
      </w:pPr>
    </w:p>
    <w:p w14:paraId="133F547B" w14:textId="77777777" w:rsidR="00927FCD" w:rsidRPr="00797DD7" w:rsidRDefault="00927FCD" w:rsidP="00972F4A">
      <w:pPr>
        <w:pStyle w:val="Para-1stLevel"/>
        <w:numPr>
          <w:ilvl w:val="0"/>
          <w:numId w:val="0"/>
        </w:numPr>
        <w:ind w:left="858"/>
        <w:rPr>
          <w:sz w:val="24"/>
          <w:szCs w:val="24"/>
          <w:highlight w:val="yellow"/>
        </w:rPr>
      </w:pPr>
    </w:p>
    <w:p w14:paraId="45AEE962" w14:textId="420AAF61" w:rsidR="001F6F51" w:rsidRPr="00F365CE" w:rsidRDefault="001F6F51" w:rsidP="001F6F51">
      <w:pPr>
        <w:pStyle w:val="ReportHeading"/>
        <w:rPr>
          <w:sz w:val="24"/>
          <w:szCs w:val="24"/>
        </w:rPr>
      </w:pPr>
      <w:r w:rsidRPr="00F365CE">
        <w:rPr>
          <w:sz w:val="24"/>
          <w:szCs w:val="24"/>
        </w:rPr>
        <w:lastRenderedPageBreak/>
        <w:t>TRAINING AND COMPETENCY REQUIREMENTS</w:t>
      </w:r>
    </w:p>
    <w:p w14:paraId="10749F4D" w14:textId="1A3B561F" w:rsidR="00972F4A" w:rsidRDefault="00972F4A" w:rsidP="00972F4A">
      <w:pPr>
        <w:pStyle w:val="Para-1stLevel"/>
        <w:rPr>
          <w:sz w:val="24"/>
          <w:szCs w:val="24"/>
        </w:rPr>
      </w:pPr>
      <w:r w:rsidRPr="00972F4A">
        <w:rPr>
          <w:sz w:val="24"/>
          <w:szCs w:val="24"/>
        </w:rPr>
        <w:t>The Provider shall ensure that all employees providing the service are suitably</w:t>
      </w:r>
      <w:r>
        <w:rPr>
          <w:sz w:val="24"/>
          <w:szCs w:val="24"/>
        </w:rPr>
        <w:t xml:space="preserve"> </w:t>
      </w:r>
      <w:r w:rsidRPr="00972F4A">
        <w:rPr>
          <w:sz w:val="24"/>
          <w:szCs w:val="24"/>
        </w:rPr>
        <w:t>qualified and competent to fit and remove LARC devices. All practitioners (doctors</w:t>
      </w:r>
      <w:r>
        <w:rPr>
          <w:sz w:val="24"/>
          <w:szCs w:val="24"/>
        </w:rPr>
        <w:t xml:space="preserve"> </w:t>
      </w:r>
      <w:r w:rsidRPr="00972F4A">
        <w:rPr>
          <w:sz w:val="24"/>
          <w:szCs w:val="24"/>
        </w:rPr>
        <w:t>or nurses) undertaking the full range of contraceptive fitting services shall hold, as a</w:t>
      </w:r>
      <w:r>
        <w:rPr>
          <w:sz w:val="24"/>
          <w:szCs w:val="24"/>
        </w:rPr>
        <w:t xml:space="preserve"> </w:t>
      </w:r>
      <w:r w:rsidRPr="00972F4A">
        <w:rPr>
          <w:sz w:val="24"/>
          <w:szCs w:val="24"/>
        </w:rPr>
        <w:t>minimum, the Faculty of Sexual and Reproductive Health (FSRH) accredited</w:t>
      </w:r>
      <w:r>
        <w:rPr>
          <w:sz w:val="24"/>
          <w:szCs w:val="24"/>
        </w:rPr>
        <w:t xml:space="preserve"> </w:t>
      </w:r>
      <w:r w:rsidRPr="00972F4A">
        <w:rPr>
          <w:sz w:val="24"/>
          <w:szCs w:val="24"/>
        </w:rPr>
        <w:t>qualifications of the electronic knowledge assessment (</w:t>
      </w:r>
      <w:proofErr w:type="spellStart"/>
      <w:r w:rsidRPr="00972F4A">
        <w:rPr>
          <w:sz w:val="24"/>
          <w:szCs w:val="24"/>
        </w:rPr>
        <w:t>eKA</w:t>
      </w:r>
      <w:proofErr w:type="spellEnd"/>
      <w:r w:rsidRPr="00972F4A">
        <w:rPr>
          <w:sz w:val="24"/>
          <w:szCs w:val="24"/>
        </w:rPr>
        <w:t>)</w:t>
      </w:r>
      <w:r>
        <w:rPr>
          <w:sz w:val="24"/>
          <w:szCs w:val="24"/>
        </w:rPr>
        <w:t xml:space="preserve">, </w:t>
      </w:r>
      <w:r w:rsidRPr="00972F4A">
        <w:rPr>
          <w:sz w:val="24"/>
          <w:szCs w:val="24"/>
        </w:rPr>
        <w:t>LoC SDI</w:t>
      </w:r>
      <w:r>
        <w:rPr>
          <w:sz w:val="24"/>
          <w:szCs w:val="24"/>
        </w:rPr>
        <w:t xml:space="preserve"> (</w:t>
      </w:r>
      <w:hyperlink r:id="rId17" w:history="1">
        <w:r w:rsidRPr="00BC2F2D">
          <w:rPr>
            <w:rStyle w:val="Hyperlink"/>
            <w:sz w:val="24"/>
            <w:szCs w:val="24"/>
          </w:rPr>
          <w:t>https://www.fsrh.org/education-and-training/letter-of-competence-subdermalimplants-loc-sdi/</w:t>
        </w:r>
      </w:hyperlink>
      <w:r>
        <w:rPr>
          <w:sz w:val="24"/>
          <w:szCs w:val="24"/>
        </w:rPr>
        <w:t xml:space="preserve">) </w:t>
      </w:r>
      <w:r w:rsidRPr="00972F4A">
        <w:rPr>
          <w:sz w:val="24"/>
          <w:szCs w:val="24"/>
        </w:rPr>
        <w:t>and LoC IU</w:t>
      </w:r>
      <w:r>
        <w:rPr>
          <w:sz w:val="24"/>
          <w:szCs w:val="24"/>
        </w:rPr>
        <w:t>T</w:t>
      </w:r>
      <w:r w:rsidRPr="00972F4A">
        <w:rPr>
          <w:sz w:val="24"/>
          <w:szCs w:val="24"/>
        </w:rPr>
        <w:t xml:space="preserve"> </w:t>
      </w:r>
      <w:r>
        <w:rPr>
          <w:sz w:val="24"/>
          <w:szCs w:val="24"/>
        </w:rPr>
        <w:t>(</w:t>
      </w:r>
      <w:hyperlink r:id="rId18" w:history="1">
        <w:r w:rsidRPr="00BC2F2D">
          <w:rPr>
            <w:rStyle w:val="Hyperlink"/>
            <w:sz w:val="24"/>
            <w:szCs w:val="24"/>
          </w:rPr>
          <w:t>https://www.fsrh.org/education-andtraining/letter-of-competence-intrauterne-techniques-loc-iut/</w:t>
        </w:r>
      </w:hyperlink>
      <w:r>
        <w:rPr>
          <w:sz w:val="24"/>
          <w:szCs w:val="24"/>
        </w:rPr>
        <w:t>)</w:t>
      </w:r>
    </w:p>
    <w:p w14:paraId="5425328F" w14:textId="4A69D415" w:rsidR="00972F4A" w:rsidRPr="00972F4A" w:rsidRDefault="00972F4A" w:rsidP="00972F4A">
      <w:pPr>
        <w:pStyle w:val="Para-1stLevel"/>
        <w:rPr>
          <w:sz w:val="24"/>
          <w:szCs w:val="24"/>
        </w:rPr>
      </w:pPr>
      <w:r w:rsidRPr="00972F4A">
        <w:rPr>
          <w:sz w:val="24"/>
          <w:szCs w:val="24"/>
        </w:rPr>
        <w:t>The practitioner is required under FSRH standards to confirm they have read the 6 Principles of Care as outlined in the FSRH “</w:t>
      </w:r>
      <w:r w:rsidRPr="00972F4A">
        <w:rPr>
          <w:i/>
          <w:iCs/>
          <w:sz w:val="24"/>
          <w:szCs w:val="24"/>
        </w:rPr>
        <w:t>Guidance for Those Undertaking or Recertifying FSRH qualifications whose Personal Beliefs conflict with the provision of abortion or any method of contraception</w:t>
      </w:r>
      <w:r w:rsidRPr="00972F4A">
        <w:rPr>
          <w:sz w:val="24"/>
          <w:szCs w:val="24"/>
        </w:rPr>
        <w:t>”</w:t>
      </w:r>
      <w:r>
        <w:rPr>
          <w:sz w:val="24"/>
          <w:szCs w:val="24"/>
        </w:rPr>
        <w:t xml:space="preserve"> (</w:t>
      </w:r>
      <w:hyperlink r:id="rId19" w:history="1">
        <w:r w:rsidRPr="00BC2F2D">
          <w:rPr>
            <w:rStyle w:val="Hyperlink"/>
            <w:sz w:val="24"/>
            <w:szCs w:val="24"/>
          </w:rPr>
          <w:t>https://www.fsrh.org/documents/guidance-for-those-undertaking-or-recertifying-fsrh/</w:t>
        </w:r>
      </w:hyperlink>
      <w:r>
        <w:rPr>
          <w:sz w:val="24"/>
          <w:szCs w:val="24"/>
        </w:rPr>
        <w:t xml:space="preserve">) </w:t>
      </w:r>
      <w:r w:rsidRPr="00972F4A">
        <w:rPr>
          <w:sz w:val="24"/>
          <w:szCs w:val="24"/>
        </w:rPr>
        <w:t>. The practitioner should agree to abide by these principles in practice at the time of application for the FSRH qualifications</w:t>
      </w:r>
    </w:p>
    <w:p w14:paraId="2781BF24" w14:textId="5A9F254D" w:rsidR="00972F4A" w:rsidRPr="00972F4A" w:rsidRDefault="00972F4A" w:rsidP="00972F4A">
      <w:pPr>
        <w:pStyle w:val="Para-1stLevel"/>
        <w:rPr>
          <w:sz w:val="24"/>
          <w:szCs w:val="24"/>
        </w:rPr>
      </w:pPr>
      <w:r w:rsidRPr="00972F4A">
        <w:rPr>
          <w:sz w:val="24"/>
          <w:szCs w:val="24"/>
        </w:rPr>
        <w:t>There should be appropriate arrangements in place for to ensure Providers are</w:t>
      </w:r>
      <w:r>
        <w:rPr>
          <w:sz w:val="24"/>
          <w:szCs w:val="24"/>
        </w:rPr>
        <w:t xml:space="preserve"> </w:t>
      </w:r>
      <w:r w:rsidRPr="00972F4A">
        <w:rPr>
          <w:sz w:val="24"/>
          <w:szCs w:val="24"/>
        </w:rPr>
        <w:t>maintaining and updating relevant skills, knowledge and supervision to deliver the</w:t>
      </w:r>
      <w:r>
        <w:rPr>
          <w:sz w:val="24"/>
          <w:szCs w:val="24"/>
        </w:rPr>
        <w:t xml:space="preserve"> service</w:t>
      </w:r>
    </w:p>
    <w:p w14:paraId="79C029C1" w14:textId="1DB8EEE7" w:rsidR="00972F4A" w:rsidRPr="00972F4A" w:rsidRDefault="00972F4A" w:rsidP="00972F4A">
      <w:pPr>
        <w:pStyle w:val="Para-1stLevel"/>
        <w:rPr>
          <w:sz w:val="24"/>
          <w:szCs w:val="24"/>
        </w:rPr>
      </w:pPr>
      <w:r w:rsidRPr="00972F4A">
        <w:rPr>
          <w:sz w:val="24"/>
          <w:szCs w:val="24"/>
        </w:rPr>
        <w:t xml:space="preserve">The Provider should ensure practitioners holding a letter of competence for SDIs or IUD/IUS are recertified every five years as specified by the FSRH </w:t>
      </w:r>
      <w:r>
        <w:rPr>
          <w:sz w:val="24"/>
          <w:szCs w:val="24"/>
        </w:rPr>
        <w:t>(</w:t>
      </w:r>
      <w:hyperlink r:id="rId20" w:history="1">
        <w:r w:rsidRPr="00BC2F2D">
          <w:rPr>
            <w:rStyle w:val="Hyperlink"/>
            <w:sz w:val="24"/>
            <w:szCs w:val="24"/>
          </w:rPr>
          <w:t>https://www.fsrh.org/recertification/recertification-information/</w:t>
        </w:r>
      </w:hyperlink>
      <w:r>
        <w:rPr>
          <w:sz w:val="24"/>
          <w:szCs w:val="24"/>
        </w:rPr>
        <w:t xml:space="preserve">) </w:t>
      </w:r>
    </w:p>
    <w:p w14:paraId="0817FD6D" w14:textId="6BA6B654" w:rsidR="00972F4A" w:rsidRPr="00972F4A" w:rsidRDefault="00972F4A" w:rsidP="00972F4A">
      <w:pPr>
        <w:pStyle w:val="Para-1stLevel"/>
        <w:rPr>
          <w:sz w:val="24"/>
          <w:szCs w:val="24"/>
        </w:rPr>
      </w:pPr>
      <w:r w:rsidRPr="00972F4A">
        <w:rPr>
          <w:sz w:val="24"/>
          <w:szCs w:val="24"/>
        </w:rPr>
        <w:t>The practitioner must be familiar with, and adhere to, the FSRH recertification requirements</w:t>
      </w:r>
      <w:r w:rsidR="001F6861">
        <w:rPr>
          <w:sz w:val="24"/>
          <w:szCs w:val="24"/>
        </w:rPr>
        <w:t xml:space="preserve"> (</w:t>
      </w:r>
      <w:hyperlink r:id="rId21" w:history="1">
        <w:r w:rsidR="001F6861" w:rsidRPr="00BC2F2D">
          <w:rPr>
            <w:rStyle w:val="Hyperlink"/>
            <w:sz w:val="24"/>
            <w:szCs w:val="24"/>
          </w:rPr>
          <w:t>https://www.fsrh.org/education-and-training/letter-of-competence-subdermal-implants-loc-sdi/</w:t>
        </w:r>
      </w:hyperlink>
      <w:r w:rsidR="001F6861">
        <w:rPr>
          <w:sz w:val="24"/>
          <w:szCs w:val="24"/>
        </w:rPr>
        <w:t>) and (</w:t>
      </w:r>
      <w:hyperlink r:id="rId22" w:history="1">
        <w:r w:rsidR="001F6861" w:rsidRPr="00BC2F2D">
          <w:rPr>
            <w:rStyle w:val="Hyperlink"/>
            <w:sz w:val="24"/>
            <w:szCs w:val="24"/>
          </w:rPr>
          <w:t>https://www.fsrh.org/education-and-training/letter-of-competence-intrauterine-techniques-loc-iut/</w:t>
        </w:r>
      </w:hyperlink>
      <w:r w:rsidR="001F6861">
        <w:rPr>
          <w:sz w:val="24"/>
          <w:szCs w:val="24"/>
        </w:rPr>
        <w:t xml:space="preserve">) </w:t>
      </w:r>
      <w:r w:rsidRPr="00972F4A">
        <w:rPr>
          <w:sz w:val="24"/>
          <w:szCs w:val="24"/>
        </w:rPr>
        <w:t>to ensure they have developed and maintained the knowledge</w:t>
      </w:r>
      <w:r>
        <w:rPr>
          <w:sz w:val="24"/>
          <w:szCs w:val="24"/>
        </w:rPr>
        <w:t xml:space="preserve"> and </w:t>
      </w:r>
      <w:r w:rsidRPr="00972F4A">
        <w:rPr>
          <w:sz w:val="24"/>
          <w:szCs w:val="24"/>
        </w:rPr>
        <w:t>skills</w:t>
      </w:r>
      <w:r>
        <w:rPr>
          <w:sz w:val="24"/>
          <w:szCs w:val="24"/>
        </w:rPr>
        <w:t xml:space="preserve"> </w:t>
      </w:r>
      <w:r w:rsidRPr="00972F4A">
        <w:rPr>
          <w:sz w:val="24"/>
          <w:szCs w:val="24"/>
        </w:rPr>
        <w:t>needed to provide safe and effective sexual and reproductive health care</w:t>
      </w:r>
    </w:p>
    <w:p w14:paraId="7F6A7A45" w14:textId="639C724E" w:rsidR="00B94D83" w:rsidRPr="00C9434C" w:rsidRDefault="00B94D83" w:rsidP="001F6861">
      <w:pPr>
        <w:pStyle w:val="Para-1stLevel"/>
        <w:rPr>
          <w:sz w:val="24"/>
          <w:szCs w:val="24"/>
        </w:rPr>
      </w:pPr>
      <w:r w:rsidRPr="00C9434C">
        <w:rPr>
          <w:sz w:val="24"/>
          <w:szCs w:val="24"/>
        </w:rPr>
        <w:t xml:space="preserve">The Provider should ensure that each practitioner delivering this service has an up to date Enhanced DBS Certificate </w:t>
      </w:r>
    </w:p>
    <w:p w14:paraId="609EE30B" w14:textId="6ED86A14" w:rsidR="001F6861" w:rsidRPr="001F6861" w:rsidRDefault="001F6861" w:rsidP="001F6861">
      <w:pPr>
        <w:pStyle w:val="Para-1stLevel"/>
        <w:rPr>
          <w:sz w:val="24"/>
          <w:szCs w:val="24"/>
        </w:rPr>
      </w:pPr>
      <w:r w:rsidRPr="001F6861">
        <w:rPr>
          <w:sz w:val="24"/>
          <w:szCs w:val="24"/>
        </w:rPr>
        <w:t>The Provider shall demonstrate compliance with all relevant national standards for</w:t>
      </w:r>
      <w:r>
        <w:rPr>
          <w:sz w:val="24"/>
          <w:szCs w:val="24"/>
        </w:rPr>
        <w:t xml:space="preserve"> </w:t>
      </w:r>
      <w:r w:rsidRPr="001F6861">
        <w:rPr>
          <w:sz w:val="24"/>
          <w:szCs w:val="24"/>
        </w:rPr>
        <w:t>service quality and clinical governance including compliance with the Code of</w:t>
      </w:r>
      <w:r>
        <w:rPr>
          <w:sz w:val="24"/>
          <w:szCs w:val="24"/>
        </w:rPr>
        <w:t xml:space="preserve"> </w:t>
      </w:r>
      <w:r w:rsidRPr="001F6861">
        <w:rPr>
          <w:sz w:val="24"/>
          <w:szCs w:val="24"/>
        </w:rPr>
        <w:t>Practice for Infection Control and relevant NICE guidelines</w:t>
      </w:r>
    </w:p>
    <w:p w14:paraId="4111FD1B" w14:textId="407A0509" w:rsidR="001F6861" w:rsidRDefault="001F6861" w:rsidP="001F6861">
      <w:pPr>
        <w:pStyle w:val="Para-1stLevel"/>
        <w:rPr>
          <w:sz w:val="24"/>
          <w:szCs w:val="24"/>
        </w:rPr>
      </w:pPr>
      <w:r w:rsidRPr="001F6861">
        <w:rPr>
          <w:sz w:val="24"/>
          <w:szCs w:val="24"/>
        </w:rPr>
        <w:t>The practitioner shall provide evidence of maintaining skills and the Provider must</w:t>
      </w:r>
      <w:r>
        <w:rPr>
          <w:sz w:val="24"/>
          <w:szCs w:val="24"/>
        </w:rPr>
        <w:t xml:space="preserve"> s</w:t>
      </w:r>
      <w:r w:rsidRPr="001F6861">
        <w:rPr>
          <w:sz w:val="24"/>
          <w:szCs w:val="24"/>
        </w:rPr>
        <w:t>ubmit audits of procedures completed by practitioners as requested by the</w:t>
      </w:r>
      <w:r>
        <w:rPr>
          <w:sz w:val="24"/>
          <w:szCs w:val="24"/>
        </w:rPr>
        <w:t xml:space="preserve"> Commissioner</w:t>
      </w:r>
    </w:p>
    <w:p w14:paraId="7992ABA1" w14:textId="7D856981" w:rsidR="001F6861" w:rsidRPr="001F6861" w:rsidRDefault="001F6861" w:rsidP="001F6861">
      <w:pPr>
        <w:pStyle w:val="Para-1stLevel"/>
        <w:rPr>
          <w:sz w:val="24"/>
          <w:szCs w:val="24"/>
        </w:rPr>
      </w:pPr>
      <w:r w:rsidRPr="001F6861">
        <w:rPr>
          <w:sz w:val="24"/>
          <w:szCs w:val="24"/>
        </w:rPr>
        <w:t xml:space="preserve">The Provider should ensure that health and safety, safeguarding, equality and diversity training is provided to staff </w:t>
      </w:r>
      <w:r>
        <w:rPr>
          <w:sz w:val="24"/>
          <w:szCs w:val="24"/>
        </w:rPr>
        <w:t>delivering</w:t>
      </w:r>
      <w:r w:rsidRPr="001F6861">
        <w:rPr>
          <w:sz w:val="24"/>
          <w:szCs w:val="24"/>
        </w:rPr>
        <w:t xml:space="preserve"> this service and fully </w:t>
      </w:r>
      <w:r w:rsidRPr="001F6861">
        <w:rPr>
          <w:sz w:val="24"/>
          <w:szCs w:val="24"/>
        </w:rPr>
        <w:lastRenderedPageBreak/>
        <w:t>comply with the Multi agency Safeguarding Adults Policy and the LSCB Inter-Agency Procedures for Children and Young People.</w:t>
      </w:r>
    </w:p>
    <w:p w14:paraId="1BF828A0" w14:textId="77777777" w:rsidR="00972F4A" w:rsidRPr="00972F4A" w:rsidRDefault="00972F4A" w:rsidP="001F6861">
      <w:pPr>
        <w:pStyle w:val="Para-1stLevel"/>
        <w:numPr>
          <w:ilvl w:val="0"/>
          <w:numId w:val="0"/>
        </w:numPr>
        <w:rPr>
          <w:sz w:val="24"/>
          <w:szCs w:val="24"/>
        </w:rPr>
      </w:pPr>
    </w:p>
    <w:p w14:paraId="4B0CF3B4" w14:textId="794B89A6" w:rsidR="001F6F51" w:rsidRPr="00F365CE" w:rsidRDefault="001F6F51" w:rsidP="001F6F51">
      <w:pPr>
        <w:pStyle w:val="ReportHeading"/>
        <w:rPr>
          <w:sz w:val="24"/>
          <w:szCs w:val="24"/>
        </w:rPr>
      </w:pPr>
      <w:r w:rsidRPr="00F365CE">
        <w:rPr>
          <w:sz w:val="24"/>
          <w:szCs w:val="24"/>
        </w:rPr>
        <w:t>ACTIVITY, PERFORMANCE AND REPORTING REQUIREMENTS</w:t>
      </w:r>
    </w:p>
    <w:p w14:paraId="106281B0" w14:textId="39B68FB6" w:rsidR="002E1638" w:rsidRDefault="002E1638" w:rsidP="002E1638">
      <w:pPr>
        <w:pStyle w:val="Para-1stLevel"/>
        <w:rPr>
          <w:sz w:val="24"/>
          <w:szCs w:val="24"/>
        </w:rPr>
      </w:pPr>
      <w:r>
        <w:rPr>
          <w:sz w:val="24"/>
          <w:szCs w:val="24"/>
        </w:rPr>
        <w:t>The Provider will e</w:t>
      </w:r>
      <w:r w:rsidRPr="002E1638">
        <w:rPr>
          <w:sz w:val="24"/>
          <w:szCs w:val="24"/>
        </w:rPr>
        <w:t>nsure that the necessary information and documentation, as detailed in this service</w:t>
      </w:r>
      <w:r>
        <w:rPr>
          <w:sz w:val="24"/>
          <w:szCs w:val="24"/>
        </w:rPr>
        <w:t xml:space="preserve"> specif</w:t>
      </w:r>
      <w:r w:rsidRPr="002E1638">
        <w:rPr>
          <w:sz w:val="24"/>
          <w:szCs w:val="24"/>
        </w:rPr>
        <w:t>ication, is maintained and made available to the Commissioner for</w:t>
      </w:r>
      <w:r>
        <w:rPr>
          <w:sz w:val="24"/>
          <w:szCs w:val="24"/>
        </w:rPr>
        <w:t xml:space="preserve"> activity and payment verification </w:t>
      </w:r>
    </w:p>
    <w:p w14:paraId="2BB40B8A" w14:textId="07C62295" w:rsidR="002E1638" w:rsidRDefault="002E1638" w:rsidP="002E1638">
      <w:pPr>
        <w:pStyle w:val="Para-1stLevel"/>
        <w:rPr>
          <w:sz w:val="24"/>
          <w:szCs w:val="24"/>
        </w:rPr>
      </w:pPr>
      <w:r>
        <w:rPr>
          <w:sz w:val="24"/>
          <w:szCs w:val="24"/>
        </w:rPr>
        <w:t>The Provider will ensure an internet connection is in place with appropriate electronic recording systems to record consultations and activity</w:t>
      </w:r>
    </w:p>
    <w:p w14:paraId="572975FC" w14:textId="4FAF9E3A" w:rsidR="002E1638" w:rsidRPr="002E1638" w:rsidRDefault="002E1638" w:rsidP="002E1638">
      <w:pPr>
        <w:pStyle w:val="Para-1stLevel"/>
        <w:rPr>
          <w:sz w:val="24"/>
          <w:szCs w:val="24"/>
        </w:rPr>
      </w:pPr>
      <w:r>
        <w:rPr>
          <w:sz w:val="24"/>
          <w:szCs w:val="24"/>
        </w:rPr>
        <w:t xml:space="preserve">The provider will ensure that claims for payment for the service can be made via the Commissioner’s designated reporting/claim </w:t>
      </w:r>
      <w:r w:rsidR="00C60EC3">
        <w:rPr>
          <w:sz w:val="24"/>
          <w:szCs w:val="24"/>
        </w:rPr>
        <w:t>process</w:t>
      </w:r>
    </w:p>
    <w:p w14:paraId="16562607" w14:textId="3DE704E8" w:rsidR="002E1638" w:rsidRPr="002E1638" w:rsidRDefault="002E1638" w:rsidP="002E1638">
      <w:pPr>
        <w:pStyle w:val="Para-1stLevel"/>
        <w:rPr>
          <w:sz w:val="24"/>
          <w:szCs w:val="24"/>
        </w:rPr>
      </w:pPr>
      <w:r>
        <w:rPr>
          <w:sz w:val="24"/>
          <w:szCs w:val="24"/>
        </w:rPr>
        <w:t>If required the provider will s</w:t>
      </w:r>
      <w:r w:rsidRPr="002E1638">
        <w:rPr>
          <w:sz w:val="24"/>
          <w:szCs w:val="24"/>
        </w:rPr>
        <w:t>hare relevant information with other health care professionals and agencies</w:t>
      </w:r>
      <w:r>
        <w:rPr>
          <w:sz w:val="24"/>
          <w:szCs w:val="24"/>
        </w:rPr>
        <w:t xml:space="preserve"> </w:t>
      </w:r>
      <w:r w:rsidRPr="002E1638">
        <w:rPr>
          <w:sz w:val="24"/>
          <w:szCs w:val="24"/>
        </w:rPr>
        <w:t>in line with locally determined confidentiality arrangements, including</w:t>
      </w:r>
      <w:r>
        <w:rPr>
          <w:sz w:val="24"/>
          <w:szCs w:val="24"/>
        </w:rPr>
        <w:t xml:space="preserve"> the need for the permission of the patient to share such information if needed</w:t>
      </w:r>
    </w:p>
    <w:p w14:paraId="5E302952" w14:textId="0180E9D5" w:rsidR="00F81E2B" w:rsidRPr="00F365CE" w:rsidRDefault="00F81E2B" w:rsidP="00C60EC3">
      <w:pPr>
        <w:pStyle w:val="Para-1stLevel"/>
        <w:rPr>
          <w:sz w:val="24"/>
          <w:szCs w:val="24"/>
        </w:rPr>
      </w:pPr>
      <w:r w:rsidRPr="00F365CE">
        <w:rPr>
          <w:sz w:val="24"/>
          <w:szCs w:val="24"/>
        </w:rPr>
        <w:t xml:space="preserve">The Provider should submit the following data on a quarterly basis </w:t>
      </w:r>
    </w:p>
    <w:p w14:paraId="1F411C84" w14:textId="5D8478A6" w:rsidR="003A4263" w:rsidRDefault="003A4263" w:rsidP="0062034F">
      <w:pPr>
        <w:pStyle w:val="Para-1stLevel"/>
        <w:numPr>
          <w:ilvl w:val="0"/>
          <w:numId w:val="0"/>
        </w:numPr>
        <w:ind w:left="426"/>
        <w:rPr>
          <w:b/>
          <w:bCs/>
          <w:color w:val="FF0000"/>
          <w:sz w:val="24"/>
          <w:szCs w:val="24"/>
          <w:highlight w:val="yellow"/>
        </w:rPr>
      </w:pPr>
    </w:p>
    <w:tbl>
      <w:tblPr>
        <w:tblStyle w:val="TableGrid"/>
        <w:tblW w:w="0" w:type="auto"/>
        <w:tblInd w:w="858" w:type="dxa"/>
        <w:tblLook w:val="04A0" w:firstRow="1" w:lastRow="0" w:firstColumn="1" w:lastColumn="0" w:noHBand="0" w:noVBand="1"/>
      </w:tblPr>
      <w:tblGrid>
        <w:gridCol w:w="2817"/>
        <w:gridCol w:w="2670"/>
        <w:gridCol w:w="2671"/>
      </w:tblGrid>
      <w:tr w:rsidR="00B01063" w14:paraId="04DC7DED" w14:textId="77777777" w:rsidTr="00F365CE">
        <w:tc>
          <w:tcPr>
            <w:tcW w:w="2817" w:type="dxa"/>
          </w:tcPr>
          <w:p w14:paraId="017BD109" w14:textId="000CBB9D" w:rsidR="00B01063" w:rsidRPr="00F365CE" w:rsidRDefault="00B01063" w:rsidP="00F365CE">
            <w:pPr>
              <w:pStyle w:val="Para-1stLevel"/>
              <w:numPr>
                <w:ilvl w:val="0"/>
                <w:numId w:val="0"/>
              </w:numPr>
              <w:jc w:val="center"/>
              <w:rPr>
                <w:b/>
                <w:bCs/>
                <w:sz w:val="24"/>
                <w:szCs w:val="24"/>
              </w:rPr>
            </w:pPr>
            <w:r w:rsidRPr="00F365CE">
              <w:rPr>
                <w:b/>
                <w:bCs/>
                <w:sz w:val="24"/>
                <w:szCs w:val="24"/>
              </w:rPr>
              <w:t>Indicator</w:t>
            </w:r>
          </w:p>
        </w:tc>
        <w:tc>
          <w:tcPr>
            <w:tcW w:w="2670" w:type="dxa"/>
          </w:tcPr>
          <w:p w14:paraId="060F091C" w14:textId="28D98F74" w:rsidR="00B01063" w:rsidRPr="00F365CE" w:rsidRDefault="00186428" w:rsidP="00F365CE">
            <w:pPr>
              <w:pStyle w:val="Para-1stLevel"/>
              <w:numPr>
                <w:ilvl w:val="0"/>
                <w:numId w:val="0"/>
              </w:numPr>
              <w:jc w:val="center"/>
              <w:rPr>
                <w:b/>
                <w:bCs/>
                <w:sz w:val="24"/>
                <w:szCs w:val="24"/>
              </w:rPr>
            </w:pPr>
            <w:r w:rsidRPr="00F365CE">
              <w:rPr>
                <w:b/>
                <w:bCs/>
                <w:sz w:val="24"/>
                <w:szCs w:val="24"/>
              </w:rPr>
              <w:t>Method</w:t>
            </w:r>
          </w:p>
        </w:tc>
        <w:tc>
          <w:tcPr>
            <w:tcW w:w="2671" w:type="dxa"/>
          </w:tcPr>
          <w:p w14:paraId="09DD2B8D" w14:textId="05A84511" w:rsidR="00B01063" w:rsidRPr="00F365CE" w:rsidRDefault="00186428" w:rsidP="00F365CE">
            <w:pPr>
              <w:pStyle w:val="Para-1stLevel"/>
              <w:numPr>
                <w:ilvl w:val="0"/>
                <w:numId w:val="0"/>
              </w:numPr>
              <w:jc w:val="center"/>
              <w:rPr>
                <w:b/>
                <w:bCs/>
                <w:sz w:val="24"/>
                <w:szCs w:val="24"/>
              </w:rPr>
            </w:pPr>
            <w:r w:rsidRPr="00F365CE">
              <w:rPr>
                <w:b/>
                <w:bCs/>
                <w:sz w:val="24"/>
                <w:szCs w:val="24"/>
              </w:rPr>
              <w:t>Timescale</w:t>
            </w:r>
          </w:p>
        </w:tc>
      </w:tr>
      <w:tr w:rsidR="00B01063" w14:paraId="23495646" w14:textId="77777777" w:rsidTr="00F365CE">
        <w:tc>
          <w:tcPr>
            <w:tcW w:w="2817" w:type="dxa"/>
          </w:tcPr>
          <w:p w14:paraId="19D79C10" w14:textId="145E8B78" w:rsidR="00B01063" w:rsidRPr="00F365CE" w:rsidRDefault="00B01063" w:rsidP="00F365CE">
            <w:pPr>
              <w:pStyle w:val="Para-1stLevel"/>
              <w:numPr>
                <w:ilvl w:val="0"/>
                <w:numId w:val="0"/>
              </w:numPr>
              <w:jc w:val="center"/>
              <w:rPr>
                <w:sz w:val="24"/>
                <w:szCs w:val="24"/>
              </w:rPr>
            </w:pPr>
            <w:r w:rsidRPr="00F365CE">
              <w:rPr>
                <w:sz w:val="24"/>
                <w:szCs w:val="24"/>
              </w:rPr>
              <w:t>Number of IUD/IUS fits</w:t>
            </w:r>
          </w:p>
        </w:tc>
        <w:tc>
          <w:tcPr>
            <w:tcW w:w="2670" w:type="dxa"/>
          </w:tcPr>
          <w:p w14:paraId="7F8AC8DD" w14:textId="768847CD" w:rsidR="00B01063" w:rsidRPr="00F365CE" w:rsidRDefault="00186428" w:rsidP="00F365CE">
            <w:pPr>
              <w:pStyle w:val="Para-1stLevel"/>
              <w:numPr>
                <w:ilvl w:val="0"/>
                <w:numId w:val="0"/>
              </w:numPr>
              <w:jc w:val="center"/>
              <w:rPr>
                <w:sz w:val="24"/>
                <w:szCs w:val="24"/>
              </w:rPr>
            </w:pPr>
            <w:r w:rsidRPr="00F365CE">
              <w:rPr>
                <w:sz w:val="24"/>
                <w:szCs w:val="24"/>
              </w:rPr>
              <w:t>Via reporting/claim template</w:t>
            </w:r>
          </w:p>
        </w:tc>
        <w:tc>
          <w:tcPr>
            <w:tcW w:w="2671" w:type="dxa"/>
          </w:tcPr>
          <w:p w14:paraId="0A48BB62" w14:textId="02CEE174" w:rsidR="00B01063" w:rsidRPr="00F365CE" w:rsidRDefault="00186428" w:rsidP="00F365CE">
            <w:pPr>
              <w:pStyle w:val="Para-1stLevel"/>
              <w:numPr>
                <w:ilvl w:val="0"/>
                <w:numId w:val="0"/>
              </w:numPr>
              <w:jc w:val="center"/>
              <w:rPr>
                <w:sz w:val="24"/>
                <w:szCs w:val="24"/>
              </w:rPr>
            </w:pPr>
            <w:r w:rsidRPr="00F365CE">
              <w:rPr>
                <w:sz w:val="24"/>
                <w:szCs w:val="24"/>
              </w:rPr>
              <w:t>Quarterly</w:t>
            </w:r>
          </w:p>
        </w:tc>
      </w:tr>
      <w:tr w:rsidR="00B01063" w14:paraId="0EE579B1" w14:textId="77777777" w:rsidTr="00F365CE">
        <w:tc>
          <w:tcPr>
            <w:tcW w:w="2817" w:type="dxa"/>
          </w:tcPr>
          <w:p w14:paraId="4F7F93B2" w14:textId="7839C3AE" w:rsidR="00B01063" w:rsidRPr="00F365CE" w:rsidRDefault="00B01063" w:rsidP="00F365CE">
            <w:pPr>
              <w:pStyle w:val="Para-1stLevel"/>
              <w:numPr>
                <w:ilvl w:val="0"/>
                <w:numId w:val="0"/>
              </w:numPr>
              <w:jc w:val="center"/>
              <w:rPr>
                <w:sz w:val="24"/>
                <w:szCs w:val="24"/>
              </w:rPr>
            </w:pPr>
            <w:r w:rsidRPr="00F365CE">
              <w:rPr>
                <w:sz w:val="24"/>
                <w:szCs w:val="24"/>
              </w:rPr>
              <w:t>Number of IUD/IUS removals</w:t>
            </w:r>
          </w:p>
        </w:tc>
        <w:tc>
          <w:tcPr>
            <w:tcW w:w="2670" w:type="dxa"/>
          </w:tcPr>
          <w:p w14:paraId="6C51EC74" w14:textId="50A62275" w:rsidR="00B01063" w:rsidRPr="00F365CE" w:rsidRDefault="00186428" w:rsidP="00F365CE">
            <w:pPr>
              <w:pStyle w:val="Para-1stLevel"/>
              <w:numPr>
                <w:ilvl w:val="0"/>
                <w:numId w:val="0"/>
              </w:numPr>
              <w:jc w:val="center"/>
              <w:rPr>
                <w:color w:val="FF0000"/>
                <w:sz w:val="24"/>
                <w:szCs w:val="24"/>
              </w:rPr>
            </w:pPr>
            <w:r w:rsidRPr="00F365CE">
              <w:rPr>
                <w:sz w:val="24"/>
                <w:szCs w:val="24"/>
              </w:rPr>
              <w:t>Via reporting/claim template</w:t>
            </w:r>
          </w:p>
        </w:tc>
        <w:tc>
          <w:tcPr>
            <w:tcW w:w="2671" w:type="dxa"/>
          </w:tcPr>
          <w:p w14:paraId="1DE90159" w14:textId="519AD4EC" w:rsidR="00B01063" w:rsidRPr="00F365CE" w:rsidRDefault="00186428" w:rsidP="00F365CE">
            <w:pPr>
              <w:pStyle w:val="Para-1stLevel"/>
              <w:numPr>
                <w:ilvl w:val="0"/>
                <w:numId w:val="0"/>
              </w:numPr>
              <w:jc w:val="center"/>
              <w:rPr>
                <w:b/>
                <w:bCs/>
                <w:color w:val="FF0000"/>
                <w:sz w:val="24"/>
                <w:szCs w:val="24"/>
              </w:rPr>
            </w:pPr>
            <w:r w:rsidRPr="008A56A2">
              <w:rPr>
                <w:sz w:val="24"/>
                <w:szCs w:val="24"/>
              </w:rPr>
              <w:t>Quarterly</w:t>
            </w:r>
          </w:p>
        </w:tc>
      </w:tr>
      <w:tr w:rsidR="00B01063" w14:paraId="78F0E992" w14:textId="77777777" w:rsidTr="00F365CE">
        <w:tc>
          <w:tcPr>
            <w:tcW w:w="2817" w:type="dxa"/>
          </w:tcPr>
          <w:p w14:paraId="188F7571" w14:textId="57431DB9" w:rsidR="00B01063" w:rsidRPr="00F365CE" w:rsidRDefault="00B01063" w:rsidP="00F365CE">
            <w:pPr>
              <w:pStyle w:val="Para-1stLevel"/>
              <w:numPr>
                <w:ilvl w:val="0"/>
                <w:numId w:val="0"/>
              </w:numPr>
              <w:jc w:val="center"/>
              <w:rPr>
                <w:sz w:val="24"/>
                <w:szCs w:val="24"/>
              </w:rPr>
            </w:pPr>
            <w:r w:rsidRPr="00F365CE">
              <w:rPr>
                <w:sz w:val="24"/>
                <w:szCs w:val="24"/>
              </w:rPr>
              <w:t>Number of failed IUD/IUS fits</w:t>
            </w:r>
            <w:r w:rsidR="00186428">
              <w:rPr>
                <w:sz w:val="24"/>
                <w:szCs w:val="24"/>
              </w:rPr>
              <w:t xml:space="preserve"> (</w:t>
            </w:r>
            <w:r w:rsidR="00426BF2">
              <w:rPr>
                <w:sz w:val="24"/>
                <w:szCs w:val="24"/>
              </w:rPr>
              <w:t>*</w:t>
            </w:r>
            <w:r w:rsidR="00186428">
              <w:rPr>
                <w:sz w:val="24"/>
                <w:szCs w:val="24"/>
              </w:rPr>
              <w:t>see definition below)</w:t>
            </w:r>
          </w:p>
        </w:tc>
        <w:tc>
          <w:tcPr>
            <w:tcW w:w="2670" w:type="dxa"/>
          </w:tcPr>
          <w:p w14:paraId="52994133" w14:textId="769D8667" w:rsidR="00B01063" w:rsidRPr="00F365CE" w:rsidRDefault="00186428" w:rsidP="00F365CE">
            <w:pPr>
              <w:pStyle w:val="Para-1stLevel"/>
              <w:numPr>
                <w:ilvl w:val="0"/>
                <w:numId w:val="0"/>
              </w:numPr>
              <w:jc w:val="center"/>
              <w:rPr>
                <w:color w:val="FF0000"/>
                <w:sz w:val="24"/>
                <w:szCs w:val="24"/>
              </w:rPr>
            </w:pPr>
            <w:r w:rsidRPr="00F365CE">
              <w:rPr>
                <w:sz w:val="24"/>
                <w:szCs w:val="24"/>
              </w:rPr>
              <w:t>Via reporting/claim template</w:t>
            </w:r>
          </w:p>
        </w:tc>
        <w:tc>
          <w:tcPr>
            <w:tcW w:w="2671" w:type="dxa"/>
          </w:tcPr>
          <w:p w14:paraId="5C671080" w14:textId="23DE8C03" w:rsidR="00B01063" w:rsidRPr="00F365CE" w:rsidRDefault="00186428" w:rsidP="00F365CE">
            <w:pPr>
              <w:pStyle w:val="Para-1stLevel"/>
              <w:numPr>
                <w:ilvl w:val="0"/>
                <w:numId w:val="0"/>
              </w:numPr>
              <w:jc w:val="center"/>
              <w:rPr>
                <w:b/>
                <w:bCs/>
                <w:color w:val="FF0000"/>
                <w:sz w:val="24"/>
                <w:szCs w:val="24"/>
              </w:rPr>
            </w:pPr>
            <w:r w:rsidRPr="008A56A2">
              <w:rPr>
                <w:sz w:val="24"/>
                <w:szCs w:val="24"/>
              </w:rPr>
              <w:t>Quarterly</w:t>
            </w:r>
          </w:p>
        </w:tc>
      </w:tr>
      <w:tr w:rsidR="00B01063" w14:paraId="45AE87AE" w14:textId="77777777" w:rsidTr="00F365CE">
        <w:tc>
          <w:tcPr>
            <w:tcW w:w="2817" w:type="dxa"/>
          </w:tcPr>
          <w:p w14:paraId="147A4449" w14:textId="4D471C70" w:rsidR="00B01063" w:rsidRPr="00F365CE" w:rsidRDefault="00B01063" w:rsidP="00F365CE">
            <w:pPr>
              <w:pStyle w:val="Para-1stLevel"/>
              <w:numPr>
                <w:ilvl w:val="0"/>
                <w:numId w:val="0"/>
              </w:numPr>
              <w:jc w:val="center"/>
              <w:rPr>
                <w:sz w:val="24"/>
                <w:szCs w:val="24"/>
              </w:rPr>
            </w:pPr>
            <w:r w:rsidRPr="00F365CE">
              <w:rPr>
                <w:sz w:val="24"/>
                <w:szCs w:val="24"/>
              </w:rPr>
              <w:t>Number of implant fits</w:t>
            </w:r>
          </w:p>
        </w:tc>
        <w:tc>
          <w:tcPr>
            <w:tcW w:w="2670" w:type="dxa"/>
          </w:tcPr>
          <w:p w14:paraId="319A54D9" w14:textId="65D6D13F" w:rsidR="00B01063" w:rsidRPr="00F365CE" w:rsidRDefault="00186428" w:rsidP="00F365CE">
            <w:pPr>
              <w:pStyle w:val="Para-1stLevel"/>
              <w:numPr>
                <w:ilvl w:val="0"/>
                <w:numId w:val="0"/>
              </w:numPr>
              <w:jc w:val="center"/>
              <w:rPr>
                <w:color w:val="FF0000"/>
                <w:sz w:val="24"/>
                <w:szCs w:val="24"/>
              </w:rPr>
            </w:pPr>
            <w:r w:rsidRPr="00F365CE">
              <w:rPr>
                <w:sz w:val="24"/>
                <w:szCs w:val="24"/>
              </w:rPr>
              <w:t>Via reporting/claim template</w:t>
            </w:r>
          </w:p>
        </w:tc>
        <w:tc>
          <w:tcPr>
            <w:tcW w:w="2671" w:type="dxa"/>
          </w:tcPr>
          <w:p w14:paraId="08B5E8BE" w14:textId="143CEECB" w:rsidR="00B01063" w:rsidRPr="00F365CE" w:rsidRDefault="00186428" w:rsidP="00F365CE">
            <w:pPr>
              <w:pStyle w:val="Para-1stLevel"/>
              <w:numPr>
                <w:ilvl w:val="0"/>
                <w:numId w:val="0"/>
              </w:numPr>
              <w:jc w:val="center"/>
              <w:rPr>
                <w:b/>
                <w:bCs/>
                <w:color w:val="FF0000"/>
                <w:sz w:val="24"/>
                <w:szCs w:val="24"/>
              </w:rPr>
            </w:pPr>
            <w:r w:rsidRPr="008A56A2">
              <w:rPr>
                <w:sz w:val="24"/>
                <w:szCs w:val="24"/>
              </w:rPr>
              <w:t>Quarterly</w:t>
            </w:r>
          </w:p>
        </w:tc>
      </w:tr>
      <w:tr w:rsidR="00B01063" w14:paraId="6729E11A" w14:textId="77777777" w:rsidTr="00F365CE">
        <w:tc>
          <w:tcPr>
            <w:tcW w:w="2817" w:type="dxa"/>
          </w:tcPr>
          <w:p w14:paraId="6117030F" w14:textId="42F68BCE" w:rsidR="00B01063" w:rsidRPr="00F365CE" w:rsidRDefault="00B01063" w:rsidP="00F365CE">
            <w:pPr>
              <w:pStyle w:val="Para-1stLevel"/>
              <w:numPr>
                <w:ilvl w:val="0"/>
                <w:numId w:val="0"/>
              </w:numPr>
              <w:jc w:val="center"/>
              <w:rPr>
                <w:sz w:val="24"/>
                <w:szCs w:val="24"/>
              </w:rPr>
            </w:pPr>
            <w:r w:rsidRPr="00F365CE">
              <w:rPr>
                <w:sz w:val="24"/>
                <w:szCs w:val="24"/>
              </w:rPr>
              <w:t>Number of implant removals</w:t>
            </w:r>
          </w:p>
        </w:tc>
        <w:tc>
          <w:tcPr>
            <w:tcW w:w="2670" w:type="dxa"/>
          </w:tcPr>
          <w:p w14:paraId="4ADD35AF" w14:textId="61931335" w:rsidR="00B01063" w:rsidRPr="00F365CE" w:rsidRDefault="00186428" w:rsidP="00F365CE">
            <w:pPr>
              <w:pStyle w:val="Para-1stLevel"/>
              <w:numPr>
                <w:ilvl w:val="0"/>
                <w:numId w:val="0"/>
              </w:numPr>
              <w:jc w:val="center"/>
              <w:rPr>
                <w:color w:val="FF0000"/>
                <w:sz w:val="24"/>
                <w:szCs w:val="24"/>
              </w:rPr>
            </w:pPr>
            <w:r w:rsidRPr="00F365CE">
              <w:rPr>
                <w:sz w:val="24"/>
                <w:szCs w:val="24"/>
              </w:rPr>
              <w:t>Via reporting/claim template</w:t>
            </w:r>
          </w:p>
        </w:tc>
        <w:tc>
          <w:tcPr>
            <w:tcW w:w="2671" w:type="dxa"/>
          </w:tcPr>
          <w:p w14:paraId="23614F3F" w14:textId="4051D736" w:rsidR="00B01063" w:rsidRPr="00F365CE" w:rsidRDefault="00186428" w:rsidP="00F365CE">
            <w:pPr>
              <w:pStyle w:val="Para-1stLevel"/>
              <w:numPr>
                <w:ilvl w:val="0"/>
                <w:numId w:val="0"/>
              </w:numPr>
              <w:jc w:val="center"/>
              <w:rPr>
                <w:b/>
                <w:bCs/>
                <w:color w:val="FF0000"/>
                <w:sz w:val="24"/>
                <w:szCs w:val="24"/>
              </w:rPr>
            </w:pPr>
            <w:r w:rsidRPr="008A56A2">
              <w:rPr>
                <w:sz w:val="24"/>
                <w:szCs w:val="24"/>
              </w:rPr>
              <w:t>Quarterly</w:t>
            </w:r>
          </w:p>
        </w:tc>
      </w:tr>
      <w:tr w:rsidR="00B01063" w14:paraId="31D918FA" w14:textId="77777777" w:rsidTr="00F365CE">
        <w:tc>
          <w:tcPr>
            <w:tcW w:w="2817" w:type="dxa"/>
          </w:tcPr>
          <w:p w14:paraId="4C543B43" w14:textId="6CDC77A0" w:rsidR="00B01063" w:rsidRPr="00F365CE" w:rsidRDefault="00B01063" w:rsidP="00F365CE">
            <w:pPr>
              <w:pStyle w:val="Para-1stLevel"/>
              <w:numPr>
                <w:ilvl w:val="0"/>
                <w:numId w:val="0"/>
              </w:numPr>
              <w:jc w:val="center"/>
              <w:rPr>
                <w:sz w:val="24"/>
                <w:szCs w:val="24"/>
              </w:rPr>
            </w:pPr>
            <w:r w:rsidRPr="00F365CE">
              <w:rPr>
                <w:sz w:val="24"/>
                <w:szCs w:val="24"/>
              </w:rPr>
              <w:t>Number of failed implant removals</w:t>
            </w:r>
            <w:r w:rsidR="00186428">
              <w:rPr>
                <w:sz w:val="24"/>
                <w:szCs w:val="24"/>
              </w:rPr>
              <w:t xml:space="preserve"> (</w:t>
            </w:r>
            <w:r w:rsidR="00426BF2">
              <w:rPr>
                <w:sz w:val="24"/>
                <w:szCs w:val="24"/>
              </w:rPr>
              <w:t>*</w:t>
            </w:r>
            <w:r w:rsidR="00186428">
              <w:rPr>
                <w:sz w:val="24"/>
                <w:szCs w:val="24"/>
              </w:rPr>
              <w:t>see definition below)</w:t>
            </w:r>
          </w:p>
        </w:tc>
        <w:tc>
          <w:tcPr>
            <w:tcW w:w="2670" w:type="dxa"/>
          </w:tcPr>
          <w:p w14:paraId="56725281" w14:textId="1EEADA4D" w:rsidR="00B01063" w:rsidRPr="00F365CE" w:rsidRDefault="00186428" w:rsidP="00F365CE">
            <w:pPr>
              <w:pStyle w:val="Para-1stLevel"/>
              <w:numPr>
                <w:ilvl w:val="0"/>
                <w:numId w:val="0"/>
              </w:numPr>
              <w:jc w:val="center"/>
              <w:rPr>
                <w:color w:val="FF0000"/>
                <w:sz w:val="24"/>
                <w:szCs w:val="24"/>
              </w:rPr>
            </w:pPr>
            <w:r w:rsidRPr="00F365CE">
              <w:rPr>
                <w:sz w:val="24"/>
                <w:szCs w:val="24"/>
              </w:rPr>
              <w:t>Via reporting/claim template</w:t>
            </w:r>
          </w:p>
        </w:tc>
        <w:tc>
          <w:tcPr>
            <w:tcW w:w="2671" w:type="dxa"/>
          </w:tcPr>
          <w:p w14:paraId="7AD3FE8B" w14:textId="4694E554" w:rsidR="00B01063" w:rsidRPr="00F365CE" w:rsidRDefault="00186428" w:rsidP="00F365CE">
            <w:pPr>
              <w:pStyle w:val="Para-1stLevel"/>
              <w:numPr>
                <w:ilvl w:val="0"/>
                <w:numId w:val="0"/>
              </w:numPr>
              <w:jc w:val="center"/>
              <w:rPr>
                <w:b/>
                <w:bCs/>
                <w:color w:val="FF0000"/>
                <w:sz w:val="24"/>
                <w:szCs w:val="24"/>
              </w:rPr>
            </w:pPr>
            <w:r w:rsidRPr="008A56A2">
              <w:rPr>
                <w:sz w:val="24"/>
                <w:szCs w:val="24"/>
              </w:rPr>
              <w:t>Quarterly</w:t>
            </w:r>
          </w:p>
        </w:tc>
      </w:tr>
      <w:tr w:rsidR="00426BF2" w14:paraId="1429378C" w14:textId="77777777" w:rsidTr="00F81E2B">
        <w:tc>
          <w:tcPr>
            <w:tcW w:w="2817" w:type="dxa"/>
          </w:tcPr>
          <w:p w14:paraId="40F21FB6" w14:textId="645F2A3E" w:rsidR="00426BF2" w:rsidRPr="00426BF2" w:rsidRDefault="00426BF2" w:rsidP="00F365CE">
            <w:pPr>
              <w:pStyle w:val="Para-1stLevel"/>
              <w:numPr>
                <w:ilvl w:val="0"/>
                <w:numId w:val="0"/>
              </w:numPr>
              <w:jc w:val="center"/>
              <w:rPr>
                <w:sz w:val="24"/>
                <w:szCs w:val="24"/>
              </w:rPr>
            </w:pPr>
            <w:r>
              <w:rPr>
                <w:sz w:val="24"/>
                <w:szCs w:val="24"/>
              </w:rPr>
              <w:t xml:space="preserve">Percentage of patients who report satisfaction with a retained LARC </w:t>
            </w:r>
            <w:r>
              <w:rPr>
                <w:sz w:val="24"/>
                <w:szCs w:val="24"/>
              </w:rPr>
              <w:lastRenderedPageBreak/>
              <w:t>device 12 month after fit</w:t>
            </w:r>
          </w:p>
        </w:tc>
        <w:tc>
          <w:tcPr>
            <w:tcW w:w="2670" w:type="dxa"/>
          </w:tcPr>
          <w:p w14:paraId="23B75878" w14:textId="4FDA01BE" w:rsidR="00426BF2" w:rsidRPr="00426BF2" w:rsidRDefault="00426BF2" w:rsidP="00F365CE">
            <w:pPr>
              <w:pStyle w:val="Para-1stLevel"/>
              <w:numPr>
                <w:ilvl w:val="0"/>
                <w:numId w:val="0"/>
              </w:numPr>
              <w:jc w:val="center"/>
              <w:rPr>
                <w:sz w:val="24"/>
                <w:szCs w:val="24"/>
              </w:rPr>
            </w:pPr>
            <w:r w:rsidRPr="008A56A2">
              <w:rPr>
                <w:sz w:val="24"/>
                <w:szCs w:val="24"/>
              </w:rPr>
              <w:lastRenderedPageBreak/>
              <w:t>Via reporting/claim template</w:t>
            </w:r>
          </w:p>
        </w:tc>
        <w:tc>
          <w:tcPr>
            <w:tcW w:w="2671" w:type="dxa"/>
          </w:tcPr>
          <w:p w14:paraId="1F54F3A8" w14:textId="305817D7" w:rsidR="00426BF2" w:rsidRDefault="00453A0D" w:rsidP="00AA4CE1">
            <w:pPr>
              <w:pStyle w:val="Para-1stLevel"/>
              <w:numPr>
                <w:ilvl w:val="0"/>
                <w:numId w:val="0"/>
              </w:numPr>
              <w:jc w:val="center"/>
              <w:rPr>
                <w:sz w:val="24"/>
                <w:szCs w:val="24"/>
              </w:rPr>
            </w:pPr>
            <w:r>
              <w:rPr>
                <w:sz w:val="24"/>
                <w:szCs w:val="24"/>
              </w:rPr>
              <w:t>Annual audit</w:t>
            </w:r>
          </w:p>
          <w:p w14:paraId="4BC9B4C8" w14:textId="6D0AD42F" w:rsidR="00F365CE" w:rsidRPr="008A56A2" w:rsidRDefault="00F365CE" w:rsidP="00F365CE">
            <w:pPr>
              <w:pStyle w:val="Para-1stLevel"/>
              <w:numPr>
                <w:ilvl w:val="0"/>
                <w:numId w:val="0"/>
              </w:numPr>
              <w:jc w:val="center"/>
              <w:rPr>
                <w:sz w:val="24"/>
                <w:szCs w:val="24"/>
              </w:rPr>
            </w:pPr>
          </w:p>
        </w:tc>
      </w:tr>
      <w:tr w:rsidR="00F365CE" w14:paraId="68282FFC" w14:textId="77777777" w:rsidTr="00F81E2B">
        <w:tc>
          <w:tcPr>
            <w:tcW w:w="2817" w:type="dxa"/>
          </w:tcPr>
          <w:p w14:paraId="501E41B2" w14:textId="5C0ED4DE" w:rsidR="00F365CE" w:rsidRDefault="00A51C1E" w:rsidP="00AA4CE1">
            <w:pPr>
              <w:pStyle w:val="Para-1stLevel"/>
              <w:numPr>
                <w:ilvl w:val="0"/>
                <w:numId w:val="0"/>
              </w:numPr>
              <w:jc w:val="center"/>
              <w:rPr>
                <w:sz w:val="24"/>
                <w:szCs w:val="24"/>
              </w:rPr>
            </w:pPr>
            <w:r>
              <w:rPr>
                <w:sz w:val="24"/>
                <w:szCs w:val="24"/>
              </w:rPr>
              <w:t>Number of IUD, IUS and SDI fit and removals by fitter</w:t>
            </w:r>
          </w:p>
        </w:tc>
        <w:tc>
          <w:tcPr>
            <w:tcW w:w="2670" w:type="dxa"/>
          </w:tcPr>
          <w:p w14:paraId="33CB20E2" w14:textId="4CC4BE4D" w:rsidR="00F365CE" w:rsidRPr="008A56A2" w:rsidRDefault="00A51C1E" w:rsidP="00AA4CE1">
            <w:pPr>
              <w:pStyle w:val="Para-1stLevel"/>
              <w:numPr>
                <w:ilvl w:val="0"/>
                <w:numId w:val="0"/>
              </w:numPr>
              <w:jc w:val="center"/>
              <w:rPr>
                <w:sz w:val="24"/>
                <w:szCs w:val="24"/>
              </w:rPr>
            </w:pPr>
            <w:r>
              <w:rPr>
                <w:sz w:val="24"/>
                <w:szCs w:val="24"/>
              </w:rPr>
              <w:t>Via additional reporting template</w:t>
            </w:r>
          </w:p>
        </w:tc>
        <w:tc>
          <w:tcPr>
            <w:tcW w:w="2671" w:type="dxa"/>
          </w:tcPr>
          <w:p w14:paraId="12B94211" w14:textId="184A09AD" w:rsidR="00F365CE" w:rsidRDefault="00A51C1E" w:rsidP="00AA4CE1">
            <w:pPr>
              <w:pStyle w:val="Para-1stLevel"/>
              <w:numPr>
                <w:ilvl w:val="0"/>
                <w:numId w:val="0"/>
              </w:numPr>
              <w:jc w:val="center"/>
              <w:rPr>
                <w:sz w:val="24"/>
                <w:szCs w:val="24"/>
              </w:rPr>
            </w:pPr>
            <w:r>
              <w:rPr>
                <w:sz w:val="24"/>
                <w:szCs w:val="24"/>
              </w:rPr>
              <w:t>Annual audit</w:t>
            </w:r>
          </w:p>
        </w:tc>
      </w:tr>
      <w:tr w:rsidR="0062034F" w14:paraId="1F3F7341" w14:textId="77777777" w:rsidTr="00F81E2B">
        <w:tc>
          <w:tcPr>
            <w:tcW w:w="2817" w:type="dxa"/>
          </w:tcPr>
          <w:p w14:paraId="362DB811" w14:textId="702760F6" w:rsidR="0062034F" w:rsidRDefault="0062034F" w:rsidP="00AA4CE1">
            <w:pPr>
              <w:pStyle w:val="Para-1stLevel"/>
              <w:numPr>
                <w:ilvl w:val="0"/>
                <w:numId w:val="0"/>
              </w:numPr>
              <w:jc w:val="center"/>
              <w:rPr>
                <w:sz w:val="24"/>
                <w:szCs w:val="24"/>
              </w:rPr>
            </w:pPr>
            <w:r>
              <w:rPr>
                <w:sz w:val="24"/>
                <w:szCs w:val="24"/>
              </w:rPr>
              <w:t>Name of Provider representative for Commissioner queries</w:t>
            </w:r>
          </w:p>
        </w:tc>
        <w:tc>
          <w:tcPr>
            <w:tcW w:w="2670" w:type="dxa"/>
          </w:tcPr>
          <w:p w14:paraId="12FB273D" w14:textId="2AC97CCB" w:rsidR="0062034F" w:rsidRDefault="0062034F" w:rsidP="00AA4CE1">
            <w:pPr>
              <w:pStyle w:val="Para-1stLevel"/>
              <w:numPr>
                <w:ilvl w:val="0"/>
                <w:numId w:val="0"/>
              </w:numPr>
              <w:jc w:val="center"/>
              <w:rPr>
                <w:sz w:val="24"/>
                <w:szCs w:val="24"/>
              </w:rPr>
            </w:pPr>
            <w:r>
              <w:rPr>
                <w:sz w:val="24"/>
                <w:szCs w:val="24"/>
              </w:rPr>
              <w:t>Via reporting/claim template</w:t>
            </w:r>
          </w:p>
        </w:tc>
        <w:tc>
          <w:tcPr>
            <w:tcW w:w="2671" w:type="dxa"/>
          </w:tcPr>
          <w:p w14:paraId="481D1871" w14:textId="2F839703" w:rsidR="0062034F" w:rsidRDefault="0062034F" w:rsidP="00AA4CE1">
            <w:pPr>
              <w:pStyle w:val="Para-1stLevel"/>
              <w:numPr>
                <w:ilvl w:val="0"/>
                <w:numId w:val="0"/>
              </w:numPr>
              <w:jc w:val="center"/>
              <w:rPr>
                <w:sz w:val="24"/>
                <w:szCs w:val="24"/>
              </w:rPr>
            </w:pPr>
            <w:r>
              <w:rPr>
                <w:sz w:val="24"/>
                <w:szCs w:val="24"/>
              </w:rPr>
              <w:t>Annual</w:t>
            </w:r>
          </w:p>
        </w:tc>
      </w:tr>
    </w:tbl>
    <w:p w14:paraId="45FD17FE" w14:textId="1588CD8B" w:rsidR="00DF0866" w:rsidRDefault="00DF0866" w:rsidP="00F937D2">
      <w:pPr>
        <w:pStyle w:val="Para-1stLevel"/>
        <w:numPr>
          <w:ilvl w:val="0"/>
          <w:numId w:val="0"/>
        </w:numPr>
        <w:ind w:left="858"/>
        <w:rPr>
          <w:b/>
          <w:bCs/>
          <w:color w:val="FF0000"/>
          <w:sz w:val="24"/>
          <w:szCs w:val="24"/>
          <w:highlight w:val="yellow"/>
        </w:rPr>
      </w:pPr>
    </w:p>
    <w:p w14:paraId="650E17CF" w14:textId="35BFE63D" w:rsidR="00DF0866" w:rsidRDefault="00F81E2B" w:rsidP="00AA4CE1">
      <w:pPr>
        <w:pStyle w:val="Para-1stLevel"/>
        <w:numPr>
          <w:ilvl w:val="0"/>
          <w:numId w:val="0"/>
        </w:numPr>
        <w:ind w:left="858"/>
        <w:rPr>
          <w:sz w:val="24"/>
          <w:szCs w:val="24"/>
        </w:rPr>
      </w:pPr>
      <w:r w:rsidRPr="00F365CE">
        <w:rPr>
          <w:sz w:val="24"/>
          <w:szCs w:val="24"/>
        </w:rPr>
        <w:t xml:space="preserve">If a patient attends an appointment to have either an IUD/IUS fitted, or an SDI removed and on attempting to fit the </w:t>
      </w:r>
      <w:r w:rsidR="00176D05" w:rsidRPr="00F365CE">
        <w:rPr>
          <w:sz w:val="24"/>
          <w:szCs w:val="24"/>
        </w:rPr>
        <w:t>IUD/IUS or remove the SDI</w:t>
      </w:r>
      <w:r w:rsidRPr="00F365CE">
        <w:rPr>
          <w:sz w:val="24"/>
          <w:szCs w:val="24"/>
        </w:rPr>
        <w:t xml:space="preserve">, there is a medical or anatomical reason why the device cannot be fitted/removed at that time, the </w:t>
      </w:r>
      <w:r w:rsidR="00186428" w:rsidRPr="00F365CE">
        <w:rPr>
          <w:sz w:val="24"/>
          <w:szCs w:val="24"/>
        </w:rPr>
        <w:t>Provider</w:t>
      </w:r>
      <w:r w:rsidRPr="00F365CE">
        <w:rPr>
          <w:sz w:val="24"/>
          <w:szCs w:val="24"/>
        </w:rPr>
        <w:t xml:space="preserve"> </w:t>
      </w:r>
      <w:r w:rsidR="00186428" w:rsidRPr="00F365CE">
        <w:rPr>
          <w:sz w:val="24"/>
          <w:szCs w:val="24"/>
        </w:rPr>
        <w:t>should</w:t>
      </w:r>
      <w:r w:rsidRPr="00F365CE">
        <w:rPr>
          <w:sz w:val="24"/>
          <w:szCs w:val="24"/>
        </w:rPr>
        <w:t xml:space="preserve"> record this as a ‘failed fit’ for IUD/IUS or a ‘failed removal’ for SDIs.</w:t>
      </w:r>
    </w:p>
    <w:p w14:paraId="0AF13F01" w14:textId="7B0400EC" w:rsidR="00631F71" w:rsidRPr="00F365CE" w:rsidRDefault="00631F71" w:rsidP="00631F71">
      <w:pPr>
        <w:pStyle w:val="Para-1stLevel"/>
        <w:numPr>
          <w:ilvl w:val="0"/>
          <w:numId w:val="0"/>
        </w:numPr>
        <w:ind w:left="858"/>
        <w:rPr>
          <w:sz w:val="24"/>
          <w:szCs w:val="24"/>
        </w:rPr>
      </w:pPr>
      <w:r w:rsidRPr="00F937D2">
        <w:rPr>
          <w:sz w:val="24"/>
          <w:szCs w:val="24"/>
        </w:rPr>
        <w:t>If removing an implant and reinserting into a different arm this should be claimed as one fit and one removal</w:t>
      </w:r>
    </w:p>
    <w:p w14:paraId="786B4248" w14:textId="16406B39" w:rsidR="00AA4CE1" w:rsidRDefault="002E1638" w:rsidP="00C60EC3">
      <w:pPr>
        <w:pStyle w:val="Para-1stLevel"/>
        <w:rPr>
          <w:sz w:val="24"/>
          <w:szCs w:val="24"/>
        </w:rPr>
      </w:pPr>
      <w:r>
        <w:rPr>
          <w:sz w:val="24"/>
          <w:szCs w:val="24"/>
        </w:rPr>
        <w:t>The Provider will email the compete</w:t>
      </w:r>
      <w:r w:rsidR="00C60EC3">
        <w:rPr>
          <w:sz w:val="24"/>
          <w:szCs w:val="24"/>
        </w:rPr>
        <w:t>d</w:t>
      </w:r>
      <w:r>
        <w:rPr>
          <w:sz w:val="24"/>
          <w:szCs w:val="24"/>
        </w:rPr>
        <w:t xml:space="preserve"> </w:t>
      </w:r>
      <w:r w:rsidR="00C60EC3">
        <w:rPr>
          <w:sz w:val="24"/>
          <w:szCs w:val="24"/>
        </w:rPr>
        <w:t xml:space="preserve">reporting/claim template quarterly (every three months) to </w:t>
      </w:r>
      <w:hyperlink r:id="rId23" w:history="1">
        <w:r w:rsidR="00F81E2B" w:rsidRPr="00F365CE">
          <w:rPr>
            <w:b/>
            <w:bCs/>
            <w:sz w:val="24"/>
            <w:szCs w:val="24"/>
          </w:rPr>
          <w:t>Public_Health@bathnes.gov.uk</w:t>
        </w:r>
      </w:hyperlink>
      <w:r w:rsidR="00186428">
        <w:rPr>
          <w:sz w:val="24"/>
          <w:szCs w:val="24"/>
        </w:rPr>
        <w:t xml:space="preserve">. </w:t>
      </w:r>
      <w:r w:rsidR="00C60EC3" w:rsidRPr="00C60EC3">
        <w:rPr>
          <w:sz w:val="24"/>
          <w:szCs w:val="24"/>
        </w:rPr>
        <w:t>The deadline to submit the reporting</w:t>
      </w:r>
      <w:r w:rsidR="00C60EC3">
        <w:rPr>
          <w:sz w:val="24"/>
          <w:szCs w:val="24"/>
        </w:rPr>
        <w:t>/claim template</w:t>
      </w:r>
      <w:r w:rsidR="00C60EC3" w:rsidRPr="00C60EC3">
        <w:rPr>
          <w:sz w:val="24"/>
          <w:szCs w:val="24"/>
        </w:rPr>
        <w:t xml:space="preserve"> </w:t>
      </w:r>
      <w:r w:rsidR="00C60EC3">
        <w:rPr>
          <w:sz w:val="24"/>
          <w:szCs w:val="24"/>
        </w:rPr>
        <w:t xml:space="preserve">is the </w:t>
      </w:r>
      <w:r w:rsidR="00C60EC3" w:rsidRPr="00C60EC3">
        <w:rPr>
          <w:sz w:val="24"/>
          <w:szCs w:val="24"/>
        </w:rPr>
        <w:t xml:space="preserve">20th of the month following </w:t>
      </w:r>
      <w:r w:rsidR="00F81E2B">
        <w:rPr>
          <w:sz w:val="24"/>
          <w:szCs w:val="24"/>
        </w:rPr>
        <w:t xml:space="preserve">the </w:t>
      </w:r>
      <w:r w:rsidR="00C60EC3" w:rsidRPr="00C60EC3">
        <w:rPr>
          <w:sz w:val="24"/>
          <w:szCs w:val="24"/>
        </w:rPr>
        <w:t>quarter</w:t>
      </w:r>
      <w:r w:rsidR="00C60EC3">
        <w:rPr>
          <w:sz w:val="24"/>
          <w:szCs w:val="24"/>
        </w:rPr>
        <w:t xml:space="preserve">. </w:t>
      </w:r>
      <w:r w:rsidR="00176D05" w:rsidRPr="00F365CE">
        <w:rPr>
          <w:sz w:val="24"/>
          <w:szCs w:val="24"/>
        </w:rPr>
        <w:t>The Commissioner reserves the right to withhold payment in the event of omissions in reporting/claim data or if the reporting/claim template is submitted more than one quarter late past the deadline</w:t>
      </w:r>
    </w:p>
    <w:p w14:paraId="318C921C" w14:textId="7FFFE94E" w:rsidR="0062034F" w:rsidRDefault="0062034F" w:rsidP="00C60EC3">
      <w:pPr>
        <w:pStyle w:val="Para-1stLevel"/>
        <w:rPr>
          <w:sz w:val="24"/>
          <w:szCs w:val="24"/>
        </w:rPr>
      </w:pPr>
      <w:r>
        <w:rPr>
          <w:sz w:val="24"/>
          <w:szCs w:val="24"/>
        </w:rPr>
        <w:t xml:space="preserve">The Commissioner will </w:t>
      </w:r>
      <w:r w:rsidRPr="008A56A2">
        <w:rPr>
          <w:sz w:val="24"/>
          <w:szCs w:val="24"/>
        </w:rPr>
        <w:t>use the data for the purposes of monitoring provision, audit and for post payment verification</w:t>
      </w:r>
      <w:r>
        <w:rPr>
          <w:sz w:val="24"/>
          <w:szCs w:val="24"/>
        </w:rPr>
        <w:t>. The Commissioner reserves the right to require the Provider to undertake additional d</w:t>
      </w:r>
      <w:r w:rsidRPr="008A56A2">
        <w:rPr>
          <w:sz w:val="24"/>
          <w:szCs w:val="24"/>
        </w:rPr>
        <w:t>ata audits</w:t>
      </w:r>
      <w:r>
        <w:rPr>
          <w:sz w:val="24"/>
          <w:szCs w:val="24"/>
        </w:rPr>
        <w:t xml:space="preserve"> to </w:t>
      </w:r>
      <w:r w:rsidRPr="008A56A2">
        <w:rPr>
          <w:sz w:val="24"/>
          <w:szCs w:val="24"/>
        </w:rPr>
        <w:t>verify activity, monitor performance and provide assurances that services are delivered in line with the terms and conditions set out in this contract</w:t>
      </w:r>
      <w:r>
        <w:rPr>
          <w:sz w:val="24"/>
          <w:szCs w:val="24"/>
        </w:rPr>
        <w:t xml:space="preserve"> and</w:t>
      </w:r>
      <w:r w:rsidRPr="008A56A2">
        <w:rPr>
          <w:sz w:val="24"/>
          <w:szCs w:val="24"/>
        </w:rPr>
        <w:t xml:space="preserve"> to understand any </w:t>
      </w:r>
      <w:r>
        <w:rPr>
          <w:sz w:val="24"/>
          <w:szCs w:val="24"/>
        </w:rPr>
        <w:t xml:space="preserve">service </w:t>
      </w:r>
      <w:r w:rsidRPr="008A56A2">
        <w:rPr>
          <w:sz w:val="24"/>
          <w:szCs w:val="24"/>
        </w:rPr>
        <w:t>improvements that are needed</w:t>
      </w:r>
    </w:p>
    <w:p w14:paraId="3FDE0904" w14:textId="08595CCE" w:rsidR="0062034F" w:rsidRPr="0062034F" w:rsidRDefault="0062034F" w:rsidP="0062034F">
      <w:pPr>
        <w:pStyle w:val="Para-1stLevel"/>
        <w:rPr>
          <w:sz w:val="24"/>
          <w:szCs w:val="24"/>
        </w:rPr>
      </w:pPr>
      <w:r w:rsidRPr="0062034F">
        <w:rPr>
          <w:sz w:val="24"/>
          <w:szCs w:val="24"/>
        </w:rPr>
        <w:t xml:space="preserve">The Provider will be required to identify one named </w:t>
      </w:r>
      <w:r>
        <w:rPr>
          <w:sz w:val="24"/>
          <w:szCs w:val="24"/>
        </w:rPr>
        <w:t xml:space="preserve">Provider representative who will be the </w:t>
      </w:r>
      <w:r w:rsidRPr="0062034F">
        <w:rPr>
          <w:sz w:val="24"/>
          <w:szCs w:val="24"/>
        </w:rPr>
        <w:t xml:space="preserve">contact point between </w:t>
      </w:r>
      <w:r>
        <w:rPr>
          <w:sz w:val="24"/>
          <w:szCs w:val="24"/>
        </w:rPr>
        <w:t>the Commissioner and the Provider</w:t>
      </w:r>
      <w:r w:rsidRPr="0062034F">
        <w:rPr>
          <w:sz w:val="24"/>
          <w:szCs w:val="24"/>
        </w:rPr>
        <w:t xml:space="preserve"> throughout the delivery of this </w:t>
      </w:r>
      <w:r>
        <w:rPr>
          <w:sz w:val="24"/>
          <w:szCs w:val="24"/>
        </w:rPr>
        <w:t>service to support transparent and prompt communication</w:t>
      </w:r>
    </w:p>
    <w:p w14:paraId="685B0BDA" w14:textId="77777777" w:rsidR="002E1638" w:rsidRPr="00F365CE" w:rsidRDefault="002E1638" w:rsidP="00F81E2B">
      <w:pPr>
        <w:pStyle w:val="Para-1stLevel"/>
        <w:numPr>
          <w:ilvl w:val="0"/>
          <w:numId w:val="0"/>
        </w:numPr>
        <w:rPr>
          <w:sz w:val="24"/>
          <w:szCs w:val="24"/>
        </w:rPr>
      </w:pPr>
    </w:p>
    <w:p w14:paraId="6602CCA8" w14:textId="29A2AB36" w:rsidR="001F6F51" w:rsidRPr="00F365CE" w:rsidRDefault="001F6F51" w:rsidP="001F6F51">
      <w:pPr>
        <w:pStyle w:val="ReportHeading"/>
        <w:rPr>
          <w:sz w:val="24"/>
          <w:szCs w:val="24"/>
        </w:rPr>
      </w:pPr>
      <w:r w:rsidRPr="00F365CE">
        <w:rPr>
          <w:sz w:val="24"/>
          <w:szCs w:val="24"/>
        </w:rPr>
        <w:t>PAYMENTS</w:t>
      </w:r>
    </w:p>
    <w:p w14:paraId="608EF93A" w14:textId="73057E5C" w:rsidR="00C60EC3" w:rsidRPr="00F937D2" w:rsidRDefault="00C60EC3" w:rsidP="00C60EC3">
      <w:pPr>
        <w:pStyle w:val="Para-1stLevel"/>
        <w:rPr>
          <w:sz w:val="24"/>
          <w:szCs w:val="24"/>
        </w:rPr>
      </w:pPr>
      <w:r w:rsidRPr="00F937D2">
        <w:rPr>
          <w:sz w:val="24"/>
          <w:szCs w:val="24"/>
        </w:rPr>
        <w:t xml:space="preserve">Payment will be made on a quarterly basis on receipt of a fully completed reporting/claim template </w:t>
      </w:r>
    </w:p>
    <w:p w14:paraId="03DBEFCD" w14:textId="318429A4" w:rsidR="00176D05" w:rsidRDefault="00B94D83" w:rsidP="00176D05">
      <w:pPr>
        <w:pStyle w:val="Para-1stLevel"/>
        <w:rPr>
          <w:sz w:val="24"/>
          <w:szCs w:val="24"/>
        </w:rPr>
      </w:pPr>
      <w:r w:rsidRPr="00F937D2">
        <w:rPr>
          <w:sz w:val="24"/>
          <w:szCs w:val="24"/>
        </w:rPr>
        <w:t>The Commissioner will pay the Provider at the rates outlined below:</w:t>
      </w:r>
    </w:p>
    <w:p w14:paraId="7B2062F7" w14:textId="77777777" w:rsidR="00927FCD" w:rsidRDefault="00927FCD" w:rsidP="00927FCD">
      <w:pPr>
        <w:pStyle w:val="Para-1stLevel"/>
        <w:numPr>
          <w:ilvl w:val="0"/>
          <w:numId w:val="0"/>
        </w:numPr>
        <w:ind w:left="858"/>
        <w:rPr>
          <w:sz w:val="24"/>
          <w:szCs w:val="24"/>
        </w:rPr>
      </w:pPr>
    </w:p>
    <w:tbl>
      <w:tblPr>
        <w:tblStyle w:val="TableGrid"/>
        <w:tblW w:w="0" w:type="auto"/>
        <w:tblInd w:w="426" w:type="dxa"/>
        <w:tblLook w:val="04A0" w:firstRow="1" w:lastRow="0" w:firstColumn="1" w:lastColumn="0" w:noHBand="0" w:noVBand="1"/>
      </w:tblPr>
      <w:tblGrid>
        <w:gridCol w:w="6657"/>
        <w:gridCol w:w="1933"/>
      </w:tblGrid>
      <w:tr w:rsidR="00176D05" w14:paraId="00449D20" w14:textId="77777777" w:rsidTr="0EBDD3BD">
        <w:tc>
          <w:tcPr>
            <w:tcW w:w="6657" w:type="dxa"/>
          </w:tcPr>
          <w:p w14:paraId="2890701C" w14:textId="1F2E0185" w:rsidR="00176D05" w:rsidRPr="00F365CE" w:rsidRDefault="00176D05" w:rsidP="00F365CE">
            <w:pPr>
              <w:pStyle w:val="Para-1stLevel"/>
              <w:numPr>
                <w:ilvl w:val="0"/>
                <w:numId w:val="0"/>
              </w:numPr>
              <w:jc w:val="center"/>
              <w:rPr>
                <w:b/>
                <w:bCs/>
                <w:sz w:val="24"/>
                <w:szCs w:val="24"/>
              </w:rPr>
            </w:pPr>
            <w:r w:rsidRPr="0EBDD3BD">
              <w:rPr>
                <w:b/>
                <w:bCs/>
                <w:sz w:val="24"/>
                <w:szCs w:val="24"/>
              </w:rPr>
              <w:lastRenderedPageBreak/>
              <w:t>Element of service</w:t>
            </w:r>
          </w:p>
        </w:tc>
        <w:tc>
          <w:tcPr>
            <w:tcW w:w="1933" w:type="dxa"/>
          </w:tcPr>
          <w:p w14:paraId="4829A24F" w14:textId="20CDD9EA" w:rsidR="00176D05" w:rsidRPr="00F365CE" w:rsidRDefault="00176D05" w:rsidP="00F365CE">
            <w:pPr>
              <w:pStyle w:val="Para-1stLevel"/>
              <w:numPr>
                <w:ilvl w:val="0"/>
                <w:numId w:val="0"/>
              </w:numPr>
              <w:jc w:val="center"/>
              <w:rPr>
                <w:b/>
                <w:bCs/>
                <w:sz w:val="24"/>
                <w:szCs w:val="24"/>
              </w:rPr>
            </w:pPr>
            <w:r w:rsidRPr="0EBDD3BD">
              <w:rPr>
                <w:b/>
                <w:bCs/>
                <w:sz w:val="24"/>
                <w:szCs w:val="24"/>
              </w:rPr>
              <w:t>Fee</w:t>
            </w:r>
          </w:p>
        </w:tc>
      </w:tr>
      <w:tr w:rsidR="00176D05" w14:paraId="3D6B80F8" w14:textId="77777777" w:rsidTr="0EBDD3BD">
        <w:tc>
          <w:tcPr>
            <w:tcW w:w="6657" w:type="dxa"/>
          </w:tcPr>
          <w:p w14:paraId="634C81BB" w14:textId="3F974D59" w:rsidR="00176D05" w:rsidRDefault="00176D05" w:rsidP="00F365CE">
            <w:pPr>
              <w:pStyle w:val="Para-1stLevel"/>
              <w:numPr>
                <w:ilvl w:val="0"/>
                <w:numId w:val="0"/>
              </w:numPr>
              <w:jc w:val="center"/>
              <w:rPr>
                <w:sz w:val="24"/>
                <w:szCs w:val="24"/>
              </w:rPr>
            </w:pPr>
            <w:r>
              <w:rPr>
                <w:sz w:val="24"/>
                <w:szCs w:val="24"/>
              </w:rPr>
              <w:t>Intrauterine (IUD/IUS) fit</w:t>
            </w:r>
          </w:p>
        </w:tc>
        <w:tc>
          <w:tcPr>
            <w:tcW w:w="1933" w:type="dxa"/>
          </w:tcPr>
          <w:p w14:paraId="0919CA1D" w14:textId="78D74D74" w:rsidR="00176D05" w:rsidRDefault="00176D05" w:rsidP="00F365CE">
            <w:pPr>
              <w:pStyle w:val="Para-1stLevel"/>
              <w:numPr>
                <w:ilvl w:val="0"/>
                <w:numId w:val="0"/>
              </w:numPr>
              <w:jc w:val="center"/>
              <w:rPr>
                <w:sz w:val="24"/>
                <w:szCs w:val="24"/>
              </w:rPr>
            </w:pPr>
            <w:r>
              <w:rPr>
                <w:sz w:val="24"/>
                <w:szCs w:val="24"/>
              </w:rPr>
              <w:t>£100</w:t>
            </w:r>
          </w:p>
        </w:tc>
      </w:tr>
      <w:tr w:rsidR="00176D05" w14:paraId="0A1CFCF6" w14:textId="77777777" w:rsidTr="0EBDD3BD">
        <w:tc>
          <w:tcPr>
            <w:tcW w:w="6657" w:type="dxa"/>
          </w:tcPr>
          <w:p w14:paraId="603F7A0A" w14:textId="5573CA39" w:rsidR="00176D05" w:rsidRDefault="00176D05" w:rsidP="00F365CE">
            <w:pPr>
              <w:pStyle w:val="Para-1stLevel"/>
              <w:numPr>
                <w:ilvl w:val="0"/>
                <w:numId w:val="0"/>
              </w:numPr>
              <w:jc w:val="center"/>
              <w:rPr>
                <w:sz w:val="24"/>
                <w:szCs w:val="24"/>
              </w:rPr>
            </w:pPr>
            <w:r w:rsidRPr="0EBDD3BD">
              <w:rPr>
                <w:sz w:val="24"/>
                <w:szCs w:val="24"/>
              </w:rPr>
              <w:t>Intrauterine (IUD/IUS) removal</w:t>
            </w:r>
          </w:p>
        </w:tc>
        <w:tc>
          <w:tcPr>
            <w:tcW w:w="1933" w:type="dxa"/>
          </w:tcPr>
          <w:p w14:paraId="7E39CA90" w14:textId="0847FF38" w:rsidR="00176D05" w:rsidRDefault="00176D05" w:rsidP="00F365CE">
            <w:pPr>
              <w:pStyle w:val="Para-1stLevel"/>
              <w:numPr>
                <w:ilvl w:val="0"/>
                <w:numId w:val="0"/>
              </w:numPr>
              <w:jc w:val="center"/>
              <w:rPr>
                <w:sz w:val="24"/>
                <w:szCs w:val="24"/>
              </w:rPr>
            </w:pPr>
            <w:r>
              <w:rPr>
                <w:sz w:val="24"/>
                <w:szCs w:val="24"/>
              </w:rPr>
              <w:t>£0</w:t>
            </w:r>
          </w:p>
        </w:tc>
      </w:tr>
      <w:tr w:rsidR="00176D05" w14:paraId="120A8783" w14:textId="77777777" w:rsidTr="0EBDD3BD">
        <w:tc>
          <w:tcPr>
            <w:tcW w:w="6657" w:type="dxa"/>
          </w:tcPr>
          <w:p w14:paraId="15212C95" w14:textId="0BE35426" w:rsidR="00176D05" w:rsidRDefault="00AA4CE1" w:rsidP="00F365CE">
            <w:pPr>
              <w:pStyle w:val="Para-1stLevel"/>
              <w:numPr>
                <w:ilvl w:val="0"/>
                <w:numId w:val="0"/>
              </w:numPr>
              <w:jc w:val="center"/>
              <w:rPr>
                <w:sz w:val="24"/>
                <w:szCs w:val="24"/>
              </w:rPr>
            </w:pPr>
            <w:r>
              <w:rPr>
                <w:sz w:val="24"/>
                <w:szCs w:val="24"/>
              </w:rPr>
              <w:t>Subdermal</w:t>
            </w:r>
            <w:r w:rsidR="00176D05">
              <w:rPr>
                <w:sz w:val="24"/>
                <w:szCs w:val="24"/>
              </w:rPr>
              <w:t xml:space="preserve"> implant (SDI) fit</w:t>
            </w:r>
          </w:p>
        </w:tc>
        <w:tc>
          <w:tcPr>
            <w:tcW w:w="1933" w:type="dxa"/>
          </w:tcPr>
          <w:p w14:paraId="34B800FC" w14:textId="59DFB207" w:rsidR="00176D05" w:rsidRDefault="00176D05" w:rsidP="00F365CE">
            <w:pPr>
              <w:pStyle w:val="Para-1stLevel"/>
              <w:numPr>
                <w:ilvl w:val="0"/>
                <w:numId w:val="0"/>
              </w:numPr>
              <w:jc w:val="center"/>
              <w:rPr>
                <w:sz w:val="24"/>
                <w:szCs w:val="24"/>
              </w:rPr>
            </w:pPr>
            <w:r>
              <w:rPr>
                <w:sz w:val="24"/>
                <w:szCs w:val="24"/>
              </w:rPr>
              <w:t>£30</w:t>
            </w:r>
          </w:p>
        </w:tc>
      </w:tr>
      <w:tr w:rsidR="00176D05" w14:paraId="1188C2F3" w14:textId="77777777" w:rsidTr="0EBDD3BD">
        <w:tc>
          <w:tcPr>
            <w:tcW w:w="6657" w:type="dxa"/>
          </w:tcPr>
          <w:p w14:paraId="0D04B386" w14:textId="67BD4A9D" w:rsidR="00176D05" w:rsidRDefault="00176D05" w:rsidP="00F365CE">
            <w:pPr>
              <w:pStyle w:val="Para-1stLevel"/>
              <w:numPr>
                <w:ilvl w:val="0"/>
                <w:numId w:val="0"/>
              </w:numPr>
              <w:jc w:val="center"/>
              <w:rPr>
                <w:sz w:val="24"/>
                <w:szCs w:val="24"/>
              </w:rPr>
            </w:pPr>
            <w:r>
              <w:rPr>
                <w:sz w:val="24"/>
                <w:szCs w:val="24"/>
              </w:rPr>
              <w:t>Subdermal implant (SDI) removal</w:t>
            </w:r>
          </w:p>
        </w:tc>
        <w:tc>
          <w:tcPr>
            <w:tcW w:w="1933" w:type="dxa"/>
          </w:tcPr>
          <w:p w14:paraId="0867CF4F" w14:textId="759CC15D" w:rsidR="00176D05" w:rsidRDefault="00176D05" w:rsidP="00F365CE">
            <w:pPr>
              <w:pStyle w:val="Para-1stLevel"/>
              <w:numPr>
                <w:ilvl w:val="0"/>
                <w:numId w:val="0"/>
              </w:numPr>
              <w:jc w:val="center"/>
              <w:rPr>
                <w:sz w:val="24"/>
                <w:szCs w:val="24"/>
              </w:rPr>
            </w:pPr>
            <w:r>
              <w:rPr>
                <w:sz w:val="24"/>
                <w:szCs w:val="24"/>
              </w:rPr>
              <w:t>£56.43</w:t>
            </w:r>
          </w:p>
        </w:tc>
      </w:tr>
      <w:tr w:rsidR="00176D05" w14:paraId="26134E32" w14:textId="77777777" w:rsidTr="0EBDD3BD">
        <w:tc>
          <w:tcPr>
            <w:tcW w:w="6657" w:type="dxa"/>
          </w:tcPr>
          <w:p w14:paraId="53C2DB7C" w14:textId="18F8911F" w:rsidR="00176D05" w:rsidRDefault="00176D05" w:rsidP="00F365CE">
            <w:pPr>
              <w:pStyle w:val="Para-1stLevel"/>
              <w:numPr>
                <w:ilvl w:val="0"/>
                <w:numId w:val="0"/>
              </w:numPr>
              <w:jc w:val="center"/>
              <w:rPr>
                <w:sz w:val="24"/>
                <w:szCs w:val="24"/>
              </w:rPr>
            </w:pPr>
            <w:r>
              <w:rPr>
                <w:sz w:val="24"/>
                <w:szCs w:val="24"/>
              </w:rPr>
              <w:t>Failed intrauterine (IUD/IUS) fit</w:t>
            </w:r>
          </w:p>
        </w:tc>
        <w:tc>
          <w:tcPr>
            <w:tcW w:w="1933" w:type="dxa"/>
          </w:tcPr>
          <w:p w14:paraId="756B07B3" w14:textId="0595D259" w:rsidR="00176D05" w:rsidRDefault="00176D05" w:rsidP="00F365CE">
            <w:pPr>
              <w:pStyle w:val="Para-1stLevel"/>
              <w:numPr>
                <w:ilvl w:val="0"/>
                <w:numId w:val="0"/>
              </w:numPr>
              <w:jc w:val="center"/>
              <w:rPr>
                <w:sz w:val="24"/>
                <w:szCs w:val="24"/>
              </w:rPr>
            </w:pPr>
            <w:r>
              <w:rPr>
                <w:sz w:val="24"/>
                <w:szCs w:val="24"/>
              </w:rPr>
              <w:t>£100</w:t>
            </w:r>
          </w:p>
        </w:tc>
      </w:tr>
      <w:tr w:rsidR="00176D05" w14:paraId="077A5BDE" w14:textId="77777777" w:rsidTr="0EBDD3BD">
        <w:tc>
          <w:tcPr>
            <w:tcW w:w="6657" w:type="dxa"/>
          </w:tcPr>
          <w:p w14:paraId="651AB239" w14:textId="6ABF7918" w:rsidR="00176D05" w:rsidRDefault="00176D05" w:rsidP="00F365CE">
            <w:pPr>
              <w:pStyle w:val="Para-1stLevel"/>
              <w:numPr>
                <w:ilvl w:val="0"/>
                <w:numId w:val="0"/>
              </w:numPr>
              <w:jc w:val="center"/>
              <w:rPr>
                <w:sz w:val="24"/>
                <w:szCs w:val="24"/>
              </w:rPr>
            </w:pPr>
            <w:r>
              <w:rPr>
                <w:sz w:val="24"/>
                <w:szCs w:val="24"/>
              </w:rPr>
              <w:t>Failed subdermal implant (SDI) removal</w:t>
            </w:r>
          </w:p>
        </w:tc>
        <w:tc>
          <w:tcPr>
            <w:tcW w:w="1933" w:type="dxa"/>
          </w:tcPr>
          <w:p w14:paraId="4C3424F3" w14:textId="11084EAD" w:rsidR="00176D05" w:rsidRDefault="00176D05" w:rsidP="00F365CE">
            <w:pPr>
              <w:pStyle w:val="Para-1stLevel"/>
              <w:numPr>
                <w:ilvl w:val="0"/>
                <w:numId w:val="0"/>
              </w:numPr>
              <w:jc w:val="center"/>
              <w:rPr>
                <w:sz w:val="24"/>
                <w:szCs w:val="24"/>
              </w:rPr>
            </w:pPr>
            <w:r>
              <w:rPr>
                <w:sz w:val="24"/>
                <w:szCs w:val="24"/>
              </w:rPr>
              <w:t>£56.43</w:t>
            </w:r>
          </w:p>
        </w:tc>
      </w:tr>
    </w:tbl>
    <w:p w14:paraId="6D0BF2AA" w14:textId="77777777" w:rsidR="00176D05" w:rsidRPr="00176D05" w:rsidRDefault="00176D05" w:rsidP="00F365CE">
      <w:pPr>
        <w:pStyle w:val="Para-1stLevel"/>
        <w:numPr>
          <w:ilvl w:val="0"/>
          <w:numId w:val="0"/>
        </w:numPr>
        <w:ind w:left="426"/>
        <w:rPr>
          <w:sz w:val="24"/>
          <w:szCs w:val="24"/>
        </w:rPr>
      </w:pPr>
    </w:p>
    <w:p w14:paraId="18DFF295" w14:textId="77777777" w:rsidR="00B94D83" w:rsidRPr="00C60EC3" w:rsidRDefault="00B94D83" w:rsidP="00B94D83">
      <w:pPr>
        <w:pStyle w:val="Para-1stLevel"/>
        <w:numPr>
          <w:ilvl w:val="0"/>
          <w:numId w:val="0"/>
        </w:numPr>
      </w:pPr>
    </w:p>
    <w:p w14:paraId="63447EFE" w14:textId="291B0C41" w:rsidR="00C60EC3" w:rsidRPr="00F365CE" w:rsidRDefault="00C60EC3" w:rsidP="00C60EC3">
      <w:pPr>
        <w:pStyle w:val="ReportHeading"/>
        <w:rPr>
          <w:sz w:val="24"/>
          <w:szCs w:val="24"/>
        </w:rPr>
      </w:pPr>
      <w:r w:rsidRPr="00F365CE">
        <w:rPr>
          <w:sz w:val="24"/>
          <w:szCs w:val="24"/>
        </w:rPr>
        <w:t>APPLICABLE SERVICE STANDARDS</w:t>
      </w:r>
    </w:p>
    <w:p w14:paraId="1269152A" w14:textId="77777777" w:rsidR="00E835D1" w:rsidRDefault="00E835D1" w:rsidP="00E835D1">
      <w:pPr>
        <w:pStyle w:val="Default"/>
      </w:pPr>
    </w:p>
    <w:p w14:paraId="645D97DD" w14:textId="19E156F0" w:rsidR="00E835D1" w:rsidRPr="00E835D1" w:rsidRDefault="00E835D1" w:rsidP="00E835D1">
      <w:pPr>
        <w:pStyle w:val="Para-1stLevel"/>
        <w:numPr>
          <w:ilvl w:val="1"/>
          <w:numId w:val="5"/>
        </w:numPr>
        <w:rPr>
          <w:sz w:val="24"/>
          <w:szCs w:val="24"/>
        </w:rPr>
      </w:pPr>
      <w:r w:rsidRPr="00E835D1">
        <w:rPr>
          <w:sz w:val="24"/>
          <w:szCs w:val="24"/>
        </w:rPr>
        <w:t xml:space="preserve">BASHH and Brook. Spotting the signs: a national proforma for identifying risk of CSE in sexual health services (2014) </w:t>
      </w:r>
      <w:hyperlink r:id="rId24" w:history="1">
        <w:r w:rsidRPr="00383909">
          <w:rPr>
            <w:rStyle w:val="Hyperlink"/>
            <w:sz w:val="24"/>
            <w:szCs w:val="24"/>
          </w:rPr>
          <w:t>https://www.brook.org.uk/spotting-the-signs-tool/</w:t>
        </w:r>
      </w:hyperlink>
      <w:r>
        <w:rPr>
          <w:sz w:val="24"/>
          <w:szCs w:val="24"/>
        </w:rPr>
        <w:t xml:space="preserve"> </w:t>
      </w:r>
    </w:p>
    <w:p w14:paraId="5BE99176" w14:textId="3236047B" w:rsidR="00E835D1" w:rsidRPr="00E835D1" w:rsidRDefault="00E835D1" w:rsidP="00E835D1">
      <w:pPr>
        <w:pStyle w:val="Para-1stLevel"/>
        <w:numPr>
          <w:ilvl w:val="1"/>
          <w:numId w:val="5"/>
        </w:numPr>
        <w:rPr>
          <w:sz w:val="24"/>
          <w:szCs w:val="24"/>
        </w:rPr>
      </w:pPr>
      <w:r w:rsidRPr="00E835D1">
        <w:rPr>
          <w:sz w:val="24"/>
          <w:szCs w:val="24"/>
        </w:rPr>
        <w:t>Link to all BASHH Guidelines</w:t>
      </w:r>
      <w:r>
        <w:rPr>
          <w:sz w:val="24"/>
          <w:szCs w:val="24"/>
        </w:rPr>
        <w:t xml:space="preserve"> </w:t>
      </w:r>
      <w:hyperlink r:id="rId25" w:history="1">
        <w:r w:rsidRPr="00383909">
          <w:rPr>
            <w:rStyle w:val="Hyperlink"/>
            <w:sz w:val="24"/>
            <w:szCs w:val="24"/>
          </w:rPr>
          <w:t>https://www.bashh.org/guidelines</w:t>
        </w:r>
      </w:hyperlink>
      <w:r>
        <w:rPr>
          <w:sz w:val="24"/>
          <w:szCs w:val="24"/>
        </w:rPr>
        <w:t xml:space="preserve"> </w:t>
      </w:r>
    </w:p>
    <w:p w14:paraId="441FC61E" w14:textId="36E5AC20" w:rsidR="00E835D1" w:rsidRPr="00E835D1" w:rsidRDefault="00E835D1" w:rsidP="00E835D1">
      <w:pPr>
        <w:pStyle w:val="Para-1stLevel"/>
        <w:numPr>
          <w:ilvl w:val="1"/>
          <w:numId w:val="5"/>
        </w:numPr>
        <w:rPr>
          <w:sz w:val="24"/>
          <w:szCs w:val="24"/>
        </w:rPr>
      </w:pPr>
      <w:r w:rsidRPr="00E835D1">
        <w:rPr>
          <w:sz w:val="24"/>
          <w:szCs w:val="24"/>
        </w:rPr>
        <w:t>FSRH service standards for SRH care (20</w:t>
      </w:r>
      <w:r>
        <w:rPr>
          <w:sz w:val="24"/>
          <w:szCs w:val="24"/>
        </w:rPr>
        <w:t xml:space="preserve">21) </w:t>
      </w:r>
      <w:hyperlink r:id="rId26" w:history="1">
        <w:r w:rsidRPr="00383909">
          <w:rPr>
            <w:rStyle w:val="Hyperlink"/>
            <w:sz w:val="24"/>
            <w:szCs w:val="24"/>
          </w:rPr>
          <w:t>https://www.fsrh.org/documents/final-draft-service-standard-for-sexual-reproductive-healthcare/</w:t>
        </w:r>
      </w:hyperlink>
      <w:r>
        <w:rPr>
          <w:sz w:val="24"/>
          <w:szCs w:val="24"/>
        </w:rPr>
        <w:t xml:space="preserve"> </w:t>
      </w:r>
      <w:r w:rsidRPr="00E835D1">
        <w:rPr>
          <w:sz w:val="24"/>
          <w:szCs w:val="24"/>
        </w:rPr>
        <w:t xml:space="preserve"> </w:t>
      </w:r>
    </w:p>
    <w:p w14:paraId="12003941" w14:textId="3CD8711B" w:rsidR="00E835D1" w:rsidRPr="00E835D1" w:rsidRDefault="00E835D1" w:rsidP="00E835D1">
      <w:pPr>
        <w:pStyle w:val="Para-1stLevel"/>
        <w:numPr>
          <w:ilvl w:val="1"/>
          <w:numId w:val="5"/>
        </w:numPr>
        <w:rPr>
          <w:sz w:val="24"/>
          <w:szCs w:val="24"/>
        </w:rPr>
      </w:pPr>
      <w:r w:rsidRPr="00E835D1">
        <w:rPr>
          <w:sz w:val="24"/>
          <w:szCs w:val="24"/>
        </w:rPr>
        <w:t>FSRH standards for emergency contraception (2017 amended 202</w:t>
      </w:r>
      <w:r>
        <w:rPr>
          <w:sz w:val="24"/>
          <w:szCs w:val="24"/>
        </w:rPr>
        <w:t>3</w:t>
      </w:r>
      <w:r w:rsidRPr="00E835D1">
        <w:rPr>
          <w:sz w:val="24"/>
          <w:szCs w:val="24"/>
        </w:rPr>
        <w:t xml:space="preserve">) </w:t>
      </w:r>
      <w:hyperlink r:id="rId27" w:history="1">
        <w:r w:rsidRPr="00383909">
          <w:rPr>
            <w:rStyle w:val="Hyperlink"/>
            <w:sz w:val="24"/>
            <w:szCs w:val="24"/>
          </w:rPr>
          <w:t>https://www.fsrh.org/documents/ceu-clinical-guidance-emergency-contraception-march-2017/</w:t>
        </w:r>
      </w:hyperlink>
      <w:r>
        <w:rPr>
          <w:sz w:val="24"/>
          <w:szCs w:val="24"/>
        </w:rPr>
        <w:t xml:space="preserve"> </w:t>
      </w:r>
    </w:p>
    <w:p w14:paraId="2DA1299D" w14:textId="284376B2" w:rsidR="00E835D1" w:rsidRPr="00E835D1" w:rsidRDefault="00E835D1" w:rsidP="00E835D1">
      <w:pPr>
        <w:pStyle w:val="Para-1stLevel"/>
        <w:numPr>
          <w:ilvl w:val="1"/>
          <w:numId w:val="5"/>
        </w:numPr>
        <w:rPr>
          <w:sz w:val="24"/>
          <w:szCs w:val="24"/>
        </w:rPr>
      </w:pPr>
      <w:r w:rsidRPr="00E835D1">
        <w:rPr>
          <w:sz w:val="24"/>
          <w:szCs w:val="24"/>
        </w:rPr>
        <w:t xml:space="preserve">FSRH service standards for confidentiality in SRH services (2020) </w:t>
      </w:r>
      <w:hyperlink r:id="rId28" w:history="1">
        <w:r w:rsidR="008E4B0B" w:rsidRPr="00383909">
          <w:rPr>
            <w:rStyle w:val="Hyperlink"/>
            <w:sz w:val="24"/>
            <w:szCs w:val="24"/>
          </w:rPr>
          <w:t>https://www.fsrh.org/standards-and-guidance/documents/fsrh-service-standards-for-confidentiality-in-srh-services/</w:t>
        </w:r>
      </w:hyperlink>
      <w:r w:rsidR="008E4B0B">
        <w:rPr>
          <w:sz w:val="24"/>
          <w:szCs w:val="24"/>
        </w:rPr>
        <w:t xml:space="preserve"> </w:t>
      </w:r>
    </w:p>
    <w:p w14:paraId="1AC62BF4" w14:textId="200E696E" w:rsidR="00E835D1" w:rsidRPr="00E835D1" w:rsidRDefault="00E835D1" w:rsidP="00E835D1">
      <w:pPr>
        <w:pStyle w:val="Para-1stLevel"/>
        <w:numPr>
          <w:ilvl w:val="1"/>
          <w:numId w:val="5"/>
        </w:numPr>
        <w:rPr>
          <w:sz w:val="24"/>
          <w:szCs w:val="24"/>
        </w:rPr>
      </w:pPr>
      <w:r w:rsidRPr="00E835D1">
        <w:rPr>
          <w:sz w:val="24"/>
          <w:szCs w:val="24"/>
        </w:rPr>
        <w:t xml:space="preserve">FSRH service standards for consultations (2020) </w:t>
      </w:r>
      <w:hyperlink r:id="rId29" w:history="1">
        <w:r w:rsidR="008E4B0B" w:rsidRPr="00383909">
          <w:rPr>
            <w:rStyle w:val="Hyperlink"/>
            <w:sz w:val="24"/>
            <w:szCs w:val="24"/>
          </w:rPr>
          <w:t>https://www.fsrh.org/standards-and-guidance/documents/fsrh-service-standards-for-consultations-june-2020/</w:t>
        </w:r>
      </w:hyperlink>
      <w:r w:rsidR="008E4B0B">
        <w:rPr>
          <w:sz w:val="24"/>
          <w:szCs w:val="24"/>
        </w:rPr>
        <w:t xml:space="preserve"> </w:t>
      </w:r>
    </w:p>
    <w:p w14:paraId="3F90E0CB" w14:textId="24E9D7DC" w:rsidR="00E835D1" w:rsidRPr="00E835D1" w:rsidRDefault="00E835D1" w:rsidP="00E835D1">
      <w:pPr>
        <w:pStyle w:val="Para-1stLevel"/>
        <w:numPr>
          <w:ilvl w:val="1"/>
          <w:numId w:val="5"/>
        </w:numPr>
        <w:rPr>
          <w:sz w:val="24"/>
          <w:szCs w:val="24"/>
        </w:rPr>
      </w:pPr>
      <w:r w:rsidRPr="00E835D1">
        <w:rPr>
          <w:sz w:val="24"/>
          <w:szCs w:val="24"/>
        </w:rPr>
        <w:t xml:space="preserve">FSRH quality standard for contraceptive services (2014) </w:t>
      </w:r>
      <w:hyperlink r:id="rId30" w:history="1">
        <w:r w:rsidR="008E4B0B" w:rsidRPr="00383909">
          <w:rPr>
            <w:rStyle w:val="Hyperlink"/>
            <w:sz w:val="24"/>
            <w:szCs w:val="24"/>
          </w:rPr>
          <w:t>https://www.fsrh.org/documents/fsrhqualitystandardcontraceptiveservices/</w:t>
        </w:r>
      </w:hyperlink>
      <w:r w:rsidR="008E4B0B">
        <w:rPr>
          <w:sz w:val="24"/>
          <w:szCs w:val="24"/>
        </w:rPr>
        <w:t xml:space="preserve"> </w:t>
      </w:r>
    </w:p>
    <w:p w14:paraId="78ED64E6" w14:textId="30664363" w:rsidR="00E835D1" w:rsidRPr="00E835D1" w:rsidRDefault="00E835D1" w:rsidP="00E835D1">
      <w:pPr>
        <w:pStyle w:val="Para-1stLevel"/>
        <w:numPr>
          <w:ilvl w:val="1"/>
          <w:numId w:val="5"/>
        </w:numPr>
        <w:rPr>
          <w:sz w:val="24"/>
          <w:szCs w:val="24"/>
        </w:rPr>
      </w:pPr>
      <w:r w:rsidRPr="00E835D1">
        <w:rPr>
          <w:sz w:val="24"/>
          <w:szCs w:val="24"/>
        </w:rPr>
        <w:t xml:space="preserve">FSRH service standards for record keeping in SRH care services (2019) </w:t>
      </w:r>
      <w:hyperlink r:id="rId31" w:history="1">
        <w:r w:rsidR="008E4B0B" w:rsidRPr="00383909">
          <w:rPr>
            <w:rStyle w:val="Hyperlink"/>
            <w:sz w:val="24"/>
            <w:szCs w:val="24"/>
          </w:rPr>
          <w:t>https://www.fsrh.org/standards-and-guidance/documents/fsrh-service-standards-for-record-keeping-july-2019/</w:t>
        </w:r>
      </w:hyperlink>
      <w:r w:rsidR="008E4B0B">
        <w:rPr>
          <w:sz w:val="24"/>
          <w:szCs w:val="24"/>
        </w:rPr>
        <w:t xml:space="preserve"> </w:t>
      </w:r>
    </w:p>
    <w:p w14:paraId="4644B7C0" w14:textId="0EF6359D" w:rsidR="00E835D1" w:rsidRPr="00E835D1" w:rsidRDefault="00E835D1" w:rsidP="00E835D1">
      <w:pPr>
        <w:pStyle w:val="Para-1stLevel"/>
        <w:numPr>
          <w:ilvl w:val="1"/>
          <w:numId w:val="5"/>
        </w:numPr>
        <w:rPr>
          <w:sz w:val="24"/>
          <w:szCs w:val="24"/>
        </w:rPr>
      </w:pPr>
      <w:r w:rsidRPr="00E835D1">
        <w:rPr>
          <w:sz w:val="24"/>
          <w:szCs w:val="24"/>
        </w:rPr>
        <w:t xml:space="preserve">Link to all FSRH standards and guidelines </w:t>
      </w:r>
      <w:hyperlink r:id="rId32" w:history="1">
        <w:r w:rsidR="008E4B0B" w:rsidRPr="00383909">
          <w:rPr>
            <w:rStyle w:val="Hyperlink"/>
            <w:sz w:val="24"/>
            <w:szCs w:val="24"/>
          </w:rPr>
          <w:t>https://www.fsrh.org/standards-and-guidance/</w:t>
        </w:r>
      </w:hyperlink>
      <w:r w:rsidR="008E4B0B">
        <w:rPr>
          <w:sz w:val="24"/>
          <w:szCs w:val="24"/>
        </w:rPr>
        <w:t xml:space="preserve"> </w:t>
      </w:r>
    </w:p>
    <w:p w14:paraId="18945164" w14:textId="217E341D" w:rsidR="00E835D1" w:rsidRPr="00E835D1" w:rsidRDefault="00E835D1" w:rsidP="00E835D1">
      <w:pPr>
        <w:pStyle w:val="Para-1stLevel"/>
        <w:numPr>
          <w:ilvl w:val="1"/>
          <w:numId w:val="5"/>
        </w:numPr>
        <w:rPr>
          <w:sz w:val="24"/>
          <w:szCs w:val="24"/>
        </w:rPr>
      </w:pPr>
      <w:r w:rsidRPr="00E835D1">
        <w:rPr>
          <w:sz w:val="24"/>
          <w:szCs w:val="24"/>
        </w:rPr>
        <w:lastRenderedPageBreak/>
        <w:t>Female genital mutilation: safeguarding women and girls at risk of FGM (DHSC 2017)</w:t>
      </w:r>
      <w:r w:rsidR="008E4B0B">
        <w:rPr>
          <w:sz w:val="24"/>
          <w:szCs w:val="24"/>
        </w:rPr>
        <w:t xml:space="preserve"> </w:t>
      </w:r>
      <w:hyperlink r:id="rId33" w:history="1">
        <w:r w:rsidR="008E4B0B" w:rsidRPr="00383909">
          <w:rPr>
            <w:rStyle w:val="Hyperlink"/>
            <w:sz w:val="24"/>
            <w:szCs w:val="24"/>
          </w:rPr>
          <w:t>https://www.gov.uk/government/publications/safeguarding-women-and-girls-at-risk-of-fgm</w:t>
        </w:r>
      </w:hyperlink>
      <w:r w:rsidR="008E4B0B">
        <w:rPr>
          <w:sz w:val="24"/>
          <w:szCs w:val="24"/>
        </w:rPr>
        <w:t xml:space="preserve"> </w:t>
      </w:r>
    </w:p>
    <w:p w14:paraId="0D032041" w14:textId="7FD35049" w:rsidR="00E835D1" w:rsidRPr="00E835D1" w:rsidRDefault="00E835D1" w:rsidP="00E835D1">
      <w:pPr>
        <w:pStyle w:val="Para-1stLevel"/>
        <w:numPr>
          <w:ilvl w:val="1"/>
          <w:numId w:val="5"/>
        </w:numPr>
        <w:rPr>
          <w:sz w:val="24"/>
          <w:szCs w:val="24"/>
        </w:rPr>
      </w:pPr>
      <w:r w:rsidRPr="00E835D1">
        <w:rPr>
          <w:sz w:val="24"/>
          <w:szCs w:val="24"/>
        </w:rPr>
        <w:t>GMC projecti</w:t>
      </w:r>
      <w:r w:rsidR="008E4B0B">
        <w:rPr>
          <w:sz w:val="24"/>
          <w:szCs w:val="24"/>
        </w:rPr>
        <w:t>ng</w:t>
      </w:r>
      <w:r w:rsidRPr="00E835D1">
        <w:rPr>
          <w:sz w:val="24"/>
          <w:szCs w:val="24"/>
        </w:rPr>
        <w:t xml:space="preserve"> children and young people (2012, amended April 2019) </w:t>
      </w:r>
      <w:hyperlink r:id="rId34" w:history="1">
        <w:r w:rsidR="008E4B0B" w:rsidRPr="00383909">
          <w:rPr>
            <w:rStyle w:val="Hyperlink"/>
            <w:sz w:val="24"/>
            <w:szCs w:val="24"/>
          </w:rPr>
          <w:t>https://www.gmc-uk.org/ethical-guidance/ethical-guidance-for-doctors/protecting-children-and-young-people</w:t>
        </w:r>
      </w:hyperlink>
      <w:r w:rsidR="008E4B0B">
        <w:rPr>
          <w:sz w:val="24"/>
          <w:szCs w:val="24"/>
        </w:rPr>
        <w:t xml:space="preserve"> </w:t>
      </w:r>
    </w:p>
    <w:p w14:paraId="46587914" w14:textId="29767BC5" w:rsidR="00E835D1" w:rsidRPr="00E835D1" w:rsidRDefault="00E835D1" w:rsidP="00E835D1">
      <w:pPr>
        <w:pStyle w:val="Para-1stLevel"/>
        <w:numPr>
          <w:ilvl w:val="1"/>
          <w:numId w:val="5"/>
        </w:numPr>
        <w:rPr>
          <w:sz w:val="24"/>
          <w:szCs w:val="24"/>
        </w:rPr>
      </w:pPr>
      <w:r w:rsidRPr="00E835D1">
        <w:rPr>
          <w:sz w:val="24"/>
          <w:szCs w:val="24"/>
        </w:rPr>
        <w:t xml:space="preserve">NICE QS129 quality standard contraception (2016) </w:t>
      </w:r>
      <w:hyperlink r:id="rId35" w:history="1">
        <w:r w:rsidR="008E4B0B" w:rsidRPr="00383909">
          <w:rPr>
            <w:rStyle w:val="Hyperlink"/>
            <w:sz w:val="24"/>
            <w:szCs w:val="24"/>
          </w:rPr>
          <w:t>https://www.nice.org.uk/guidance/qs129</w:t>
        </w:r>
      </w:hyperlink>
      <w:r w:rsidR="008E4B0B">
        <w:rPr>
          <w:sz w:val="24"/>
          <w:szCs w:val="24"/>
        </w:rPr>
        <w:t xml:space="preserve"> </w:t>
      </w:r>
    </w:p>
    <w:p w14:paraId="1DE706FA" w14:textId="54057BC8" w:rsidR="00E835D1" w:rsidRPr="00E835D1" w:rsidRDefault="00E835D1" w:rsidP="00E835D1">
      <w:pPr>
        <w:pStyle w:val="Para-1stLevel"/>
        <w:numPr>
          <w:ilvl w:val="1"/>
          <w:numId w:val="5"/>
        </w:numPr>
        <w:rPr>
          <w:sz w:val="24"/>
          <w:szCs w:val="24"/>
        </w:rPr>
      </w:pPr>
      <w:r w:rsidRPr="00E835D1">
        <w:rPr>
          <w:sz w:val="24"/>
          <w:szCs w:val="24"/>
        </w:rPr>
        <w:t xml:space="preserve">NICE QS129 quality statement on emergency contraception (2016) </w:t>
      </w:r>
      <w:hyperlink r:id="rId36" w:history="1">
        <w:r w:rsidR="008E4B0B" w:rsidRPr="00383909">
          <w:rPr>
            <w:rStyle w:val="Hyperlink"/>
            <w:sz w:val="24"/>
            <w:szCs w:val="24"/>
          </w:rPr>
          <w:t>https://www.nice.org.uk/guidance/qs129/chapter/quality-statement-2-emergency-contraception</w:t>
        </w:r>
      </w:hyperlink>
      <w:r w:rsidR="008E4B0B">
        <w:rPr>
          <w:sz w:val="24"/>
          <w:szCs w:val="24"/>
        </w:rPr>
        <w:t xml:space="preserve"> </w:t>
      </w:r>
    </w:p>
    <w:p w14:paraId="43035539" w14:textId="08602C68" w:rsidR="00E835D1" w:rsidRPr="00E835D1" w:rsidRDefault="00E835D1" w:rsidP="00E835D1">
      <w:pPr>
        <w:pStyle w:val="Para-1stLevel"/>
        <w:numPr>
          <w:ilvl w:val="1"/>
          <w:numId w:val="5"/>
        </w:numPr>
        <w:rPr>
          <w:sz w:val="24"/>
          <w:szCs w:val="24"/>
        </w:rPr>
      </w:pPr>
      <w:r w:rsidRPr="00E835D1">
        <w:rPr>
          <w:sz w:val="24"/>
          <w:szCs w:val="24"/>
        </w:rPr>
        <w:t xml:space="preserve">NICE PH51 contraceptive services for under 25s (2014) </w:t>
      </w:r>
      <w:hyperlink r:id="rId37" w:history="1">
        <w:r w:rsidR="008E4B0B" w:rsidRPr="00383909">
          <w:rPr>
            <w:rStyle w:val="Hyperlink"/>
            <w:sz w:val="24"/>
            <w:szCs w:val="24"/>
          </w:rPr>
          <w:t>https://www.nice.org.uk/guidance/ph51</w:t>
        </w:r>
      </w:hyperlink>
      <w:r w:rsidR="008E4B0B">
        <w:rPr>
          <w:sz w:val="24"/>
          <w:szCs w:val="24"/>
        </w:rPr>
        <w:t xml:space="preserve"> </w:t>
      </w:r>
    </w:p>
    <w:p w14:paraId="71E95295" w14:textId="27662ED9" w:rsidR="00E835D1" w:rsidRPr="00E835D1" w:rsidRDefault="00E835D1" w:rsidP="00E835D1">
      <w:pPr>
        <w:pStyle w:val="Para-1stLevel"/>
        <w:numPr>
          <w:ilvl w:val="1"/>
          <w:numId w:val="5"/>
        </w:numPr>
        <w:rPr>
          <w:sz w:val="24"/>
          <w:szCs w:val="24"/>
        </w:rPr>
      </w:pPr>
      <w:r w:rsidRPr="00E835D1">
        <w:rPr>
          <w:sz w:val="24"/>
          <w:szCs w:val="24"/>
        </w:rPr>
        <w:t xml:space="preserve">NICE NG55 harmful sexual behaviour among children and young people (2016) </w:t>
      </w:r>
      <w:hyperlink r:id="rId38" w:history="1">
        <w:r w:rsidR="008E4B0B" w:rsidRPr="00383909">
          <w:rPr>
            <w:rStyle w:val="Hyperlink"/>
            <w:sz w:val="24"/>
            <w:szCs w:val="24"/>
          </w:rPr>
          <w:t>https://www.nice.org.uk/guidance/ng55</w:t>
        </w:r>
      </w:hyperlink>
      <w:r w:rsidR="008E4B0B">
        <w:rPr>
          <w:sz w:val="24"/>
          <w:szCs w:val="24"/>
        </w:rPr>
        <w:t xml:space="preserve"> </w:t>
      </w:r>
    </w:p>
    <w:p w14:paraId="1F120708" w14:textId="6DED1222" w:rsidR="00E835D1" w:rsidRPr="00E835D1" w:rsidRDefault="00E835D1" w:rsidP="00E835D1">
      <w:pPr>
        <w:pStyle w:val="Para-1stLevel"/>
        <w:numPr>
          <w:ilvl w:val="1"/>
          <w:numId w:val="5"/>
        </w:numPr>
        <w:rPr>
          <w:sz w:val="24"/>
          <w:szCs w:val="24"/>
        </w:rPr>
      </w:pPr>
      <w:r w:rsidRPr="00E835D1">
        <w:rPr>
          <w:sz w:val="24"/>
          <w:szCs w:val="24"/>
        </w:rPr>
        <w:t xml:space="preserve">NICE NG60 HIV testing: increasing uptake among people who may have undiagnosed HIV (2016) </w:t>
      </w:r>
      <w:hyperlink r:id="rId39" w:history="1">
        <w:r w:rsidR="008E4B0B" w:rsidRPr="00383909">
          <w:rPr>
            <w:rStyle w:val="Hyperlink"/>
            <w:sz w:val="24"/>
            <w:szCs w:val="24"/>
          </w:rPr>
          <w:t>https://www.nice.org.uk/guidance/ng60</w:t>
        </w:r>
      </w:hyperlink>
      <w:r w:rsidR="008E4B0B">
        <w:rPr>
          <w:sz w:val="24"/>
          <w:szCs w:val="24"/>
        </w:rPr>
        <w:t xml:space="preserve"> </w:t>
      </w:r>
    </w:p>
    <w:p w14:paraId="11A47CC6" w14:textId="1871F1B1" w:rsidR="00E835D1" w:rsidRPr="00E835D1" w:rsidRDefault="00E835D1" w:rsidP="00E835D1">
      <w:pPr>
        <w:pStyle w:val="Para-1stLevel"/>
        <w:numPr>
          <w:ilvl w:val="1"/>
          <w:numId w:val="5"/>
        </w:numPr>
        <w:rPr>
          <w:sz w:val="24"/>
          <w:szCs w:val="24"/>
        </w:rPr>
      </w:pPr>
      <w:r w:rsidRPr="00E835D1">
        <w:rPr>
          <w:sz w:val="24"/>
          <w:szCs w:val="24"/>
        </w:rPr>
        <w:t xml:space="preserve">NICE PH49 behaviour change; individual approaches (2014) </w:t>
      </w:r>
      <w:hyperlink r:id="rId40" w:history="1">
        <w:r w:rsidR="008E4B0B" w:rsidRPr="00383909">
          <w:rPr>
            <w:rStyle w:val="Hyperlink"/>
            <w:sz w:val="24"/>
            <w:szCs w:val="24"/>
          </w:rPr>
          <w:t>https://www.nice.org.uk/guidance/ph49</w:t>
        </w:r>
      </w:hyperlink>
      <w:r w:rsidR="008E4B0B">
        <w:rPr>
          <w:sz w:val="24"/>
          <w:szCs w:val="24"/>
        </w:rPr>
        <w:t xml:space="preserve"> </w:t>
      </w:r>
    </w:p>
    <w:p w14:paraId="6E537A9D" w14:textId="66432E5F" w:rsidR="00E835D1" w:rsidRPr="00E835D1" w:rsidRDefault="00E835D1" w:rsidP="00E835D1">
      <w:pPr>
        <w:pStyle w:val="Para-1stLevel"/>
        <w:numPr>
          <w:ilvl w:val="1"/>
          <w:numId w:val="5"/>
        </w:numPr>
        <w:rPr>
          <w:sz w:val="24"/>
          <w:szCs w:val="24"/>
        </w:rPr>
      </w:pPr>
      <w:r w:rsidRPr="00E835D1">
        <w:rPr>
          <w:sz w:val="24"/>
          <w:szCs w:val="24"/>
        </w:rPr>
        <w:t xml:space="preserve">NICE PH50 domestic violence and abuse: multi-agency working (2014) </w:t>
      </w:r>
      <w:hyperlink r:id="rId41" w:history="1">
        <w:r w:rsidR="008E4B0B" w:rsidRPr="00383909">
          <w:rPr>
            <w:rStyle w:val="Hyperlink"/>
            <w:sz w:val="24"/>
            <w:szCs w:val="24"/>
          </w:rPr>
          <w:t>https://www.nice.org.uk/guidance/ph50</w:t>
        </w:r>
      </w:hyperlink>
      <w:r w:rsidR="008E4B0B">
        <w:rPr>
          <w:sz w:val="24"/>
          <w:szCs w:val="24"/>
        </w:rPr>
        <w:t xml:space="preserve"> </w:t>
      </w:r>
    </w:p>
    <w:p w14:paraId="1393CC34" w14:textId="692858F5" w:rsidR="00E835D1" w:rsidRPr="00E835D1" w:rsidRDefault="00E835D1" w:rsidP="00E835D1">
      <w:pPr>
        <w:pStyle w:val="Para-1stLevel"/>
        <w:numPr>
          <w:ilvl w:val="1"/>
          <w:numId w:val="5"/>
        </w:numPr>
        <w:rPr>
          <w:sz w:val="24"/>
          <w:szCs w:val="24"/>
        </w:rPr>
      </w:pPr>
      <w:r w:rsidRPr="00E835D1">
        <w:rPr>
          <w:sz w:val="24"/>
          <w:szCs w:val="24"/>
        </w:rPr>
        <w:t xml:space="preserve">NICE CG30 LARC (2005 updated July 2019) </w:t>
      </w:r>
      <w:hyperlink r:id="rId42" w:history="1">
        <w:r w:rsidR="008E4B0B" w:rsidRPr="00383909">
          <w:rPr>
            <w:rStyle w:val="Hyperlink"/>
            <w:sz w:val="24"/>
            <w:szCs w:val="24"/>
          </w:rPr>
          <w:t>https://www.nice.org.uk/guidance/cg30</w:t>
        </w:r>
      </w:hyperlink>
      <w:r w:rsidR="008E4B0B">
        <w:rPr>
          <w:sz w:val="24"/>
          <w:szCs w:val="24"/>
        </w:rPr>
        <w:t xml:space="preserve"> </w:t>
      </w:r>
    </w:p>
    <w:p w14:paraId="6462455F" w14:textId="68B857E1" w:rsidR="001F6F51" w:rsidRPr="008E4B0B" w:rsidRDefault="00E835D1" w:rsidP="008E4B0B">
      <w:pPr>
        <w:pStyle w:val="Para-1stLevel"/>
        <w:numPr>
          <w:ilvl w:val="1"/>
          <w:numId w:val="5"/>
        </w:numPr>
        <w:rPr>
          <w:sz w:val="24"/>
          <w:szCs w:val="24"/>
        </w:rPr>
      </w:pPr>
      <w:r w:rsidRPr="00E835D1">
        <w:rPr>
          <w:sz w:val="24"/>
          <w:szCs w:val="24"/>
        </w:rPr>
        <w:t>NICE NG88 heavy menstrual bleeding: assessment and management (2018 updated May 2021)</w:t>
      </w:r>
      <w:r w:rsidR="008E4B0B">
        <w:rPr>
          <w:sz w:val="24"/>
          <w:szCs w:val="24"/>
        </w:rPr>
        <w:t xml:space="preserve"> </w:t>
      </w:r>
      <w:hyperlink r:id="rId43" w:history="1">
        <w:r w:rsidR="008E4B0B" w:rsidRPr="00383909">
          <w:rPr>
            <w:rStyle w:val="Hyperlink"/>
            <w:sz w:val="24"/>
            <w:szCs w:val="24"/>
          </w:rPr>
          <w:t>https://www.nice.org.uk/guidance/ng88</w:t>
        </w:r>
      </w:hyperlink>
    </w:p>
    <w:p w14:paraId="7D35B236" w14:textId="67E075FB" w:rsidR="00155AF5" w:rsidRPr="00B94D83" w:rsidRDefault="00155AF5" w:rsidP="00B94D83">
      <w:pPr>
        <w:autoSpaceDE w:val="0"/>
        <w:autoSpaceDN w:val="0"/>
        <w:adjustRightInd w:val="0"/>
        <w:spacing w:after="0" w:line="240" w:lineRule="auto"/>
        <w:rPr>
          <w:rFonts w:ascii="CIDFont+F6" w:hAnsi="CIDFont+F6" w:cs="CIDFont+F6"/>
          <w:color w:val="000000"/>
          <w:sz w:val="19"/>
          <w:szCs w:val="19"/>
        </w:rPr>
      </w:pPr>
    </w:p>
    <w:sectPr w:rsidR="00155AF5" w:rsidRPr="00B94D83" w:rsidSect="00DF0866">
      <w:headerReference w:type="default" r:id="rId44"/>
      <w:footerReference w:type="default" r:id="rId4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FEE785" w14:textId="77777777" w:rsidR="00CE09BB" w:rsidRDefault="00CE09BB" w:rsidP="00030ECE">
      <w:pPr>
        <w:spacing w:after="0" w:line="240" w:lineRule="auto"/>
      </w:pPr>
      <w:r>
        <w:separator/>
      </w:r>
    </w:p>
  </w:endnote>
  <w:endnote w:type="continuationSeparator" w:id="0">
    <w:p w14:paraId="75CACBB5" w14:textId="77777777" w:rsidR="00CE09BB" w:rsidRDefault="00CE09BB" w:rsidP="00030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Demi">
    <w:charset w:val="00"/>
    <w:family w:val="swiss"/>
    <w:pitch w:val="variable"/>
    <w:sig w:usb0="800000EF" w:usb1="5000204A" w:usb2="00000000" w:usb3="00000000" w:csb0="00000093" w:csb1="00000000"/>
  </w:font>
  <w:font w:name="CIDFont+F6">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5252062"/>
      <w:docPartObj>
        <w:docPartGallery w:val="Page Numbers (Bottom of Page)"/>
        <w:docPartUnique/>
      </w:docPartObj>
    </w:sdtPr>
    <w:sdtEndPr>
      <w:rPr>
        <w:noProof/>
      </w:rPr>
    </w:sdtEndPr>
    <w:sdtContent>
      <w:p w14:paraId="65B9B6FD" w14:textId="39AE914F" w:rsidR="00F937D2" w:rsidRDefault="00F937D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67454F2" w14:textId="77777777" w:rsidR="00F937D2" w:rsidRDefault="00F937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7C3A7" w14:textId="77777777" w:rsidR="00CE09BB" w:rsidRDefault="00CE09BB" w:rsidP="00030ECE">
      <w:pPr>
        <w:spacing w:after="0" w:line="240" w:lineRule="auto"/>
      </w:pPr>
      <w:r>
        <w:separator/>
      </w:r>
    </w:p>
  </w:footnote>
  <w:footnote w:type="continuationSeparator" w:id="0">
    <w:p w14:paraId="45BB410F" w14:textId="77777777" w:rsidR="00CE09BB" w:rsidRDefault="00CE09BB" w:rsidP="00030E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E852E" w14:textId="03741EC2" w:rsidR="00A266F3" w:rsidRPr="00A266F3" w:rsidRDefault="00A266F3" w:rsidP="00A266F3">
    <w:pPr>
      <w:spacing w:before="120" w:after="120"/>
      <w:rPr>
        <w:b/>
        <w:bCs/>
        <w:color w:val="000000" w:themeColor="text1"/>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6230DC"/>
    <w:multiLevelType w:val="multilevel"/>
    <w:tmpl w:val="C37ACB58"/>
    <w:lvl w:ilvl="0">
      <w:start w:val="1"/>
      <w:numFmt w:val="bullet"/>
      <w:lvlText w:val=""/>
      <w:lvlJc w:val="left"/>
      <w:pPr>
        <w:tabs>
          <w:tab w:val="num" w:pos="858"/>
        </w:tabs>
        <w:ind w:left="858" w:hanging="432"/>
      </w:pPr>
      <w:rPr>
        <w:rFonts w:ascii="Symbol" w:hAnsi="Symbol" w:hint="default"/>
        <w:b/>
        <w:bCs w:val="0"/>
      </w:rPr>
    </w:lvl>
    <w:lvl w:ilvl="1">
      <w:start w:val="1"/>
      <w:numFmt w:val="bullet"/>
      <w:lvlText w:val=""/>
      <w:lvlJc w:val="left"/>
      <w:pPr>
        <w:ind w:left="786" w:hanging="360"/>
      </w:pPr>
      <w:rPr>
        <w:rFonts w:ascii="Symbol" w:hAnsi="Symbol" w:hint="default"/>
      </w:rPr>
    </w:lvl>
    <w:lvl w:ilvl="2">
      <w:start w:val="1"/>
      <w:numFmt w:val="decimal"/>
      <w:isLgl/>
      <w:lvlText w:val="(%3)"/>
      <w:lvlJc w:val="left"/>
      <w:pPr>
        <w:tabs>
          <w:tab w:val="num" w:pos="1134"/>
        </w:tabs>
        <w:ind w:left="1134" w:hanging="420"/>
      </w:pPr>
      <w:rPr>
        <w:rFonts w:cs="Times New Roman" w:hint="default"/>
      </w:rPr>
    </w:lvl>
    <w:lvl w:ilvl="3">
      <w:start w:val="1"/>
      <w:numFmt w:val="lowerLetter"/>
      <w:lvlText w:val="%4)"/>
      <w:lvlJc w:val="left"/>
      <w:pPr>
        <w:tabs>
          <w:tab w:val="num" w:pos="6456"/>
        </w:tabs>
        <w:ind w:left="6453" w:hanging="357"/>
      </w:pPr>
      <w:rPr>
        <w:rFonts w:cs="Times New Roman" w:hint="default"/>
      </w:rPr>
    </w:lvl>
    <w:lvl w:ilvl="4">
      <w:start w:val="1"/>
      <w:numFmt w:val="decimal"/>
      <w:isLgl/>
      <w:lvlText w:val="%1.%2.%3.%4.%5"/>
      <w:lvlJc w:val="left"/>
      <w:pPr>
        <w:tabs>
          <w:tab w:val="num" w:pos="1364"/>
        </w:tabs>
        <w:ind w:left="1364" w:hanging="1080"/>
      </w:pPr>
      <w:rPr>
        <w:rFonts w:cs="Times New Roman" w:hint="default"/>
      </w:rPr>
    </w:lvl>
    <w:lvl w:ilvl="5">
      <w:start w:val="1"/>
      <w:numFmt w:val="decimal"/>
      <w:isLgl/>
      <w:lvlText w:val="%1.%2.%3.%4.%5.%6"/>
      <w:lvlJc w:val="left"/>
      <w:pPr>
        <w:tabs>
          <w:tab w:val="num" w:pos="1364"/>
        </w:tabs>
        <w:ind w:left="1364" w:hanging="1080"/>
      </w:pPr>
      <w:rPr>
        <w:rFonts w:cs="Times New Roman" w:hint="default"/>
      </w:rPr>
    </w:lvl>
    <w:lvl w:ilvl="6">
      <w:start w:val="1"/>
      <w:numFmt w:val="decimal"/>
      <w:isLgl/>
      <w:lvlText w:val="%1.%2.%3.%4.%5.%6.%7"/>
      <w:lvlJc w:val="left"/>
      <w:pPr>
        <w:tabs>
          <w:tab w:val="num" w:pos="1724"/>
        </w:tabs>
        <w:ind w:left="1724" w:hanging="1440"/>
      </w:pPr>
      <w:rPr>
        <w:rFonts w:cs="Times New Roman" w:hint="default"/>
      </w:rPr>
    </w:lvl>
    <w:lvl w:ilvl="7">
      <w:start w:val="1"/>
      <w:numFmt w:val="decimal"/>
      <w:isLgl/>
      <w:lvlText w:val="%1.%2.%3.%4.%5.%6.%7.%8"/>
      <w:lvlJc w:val="left"/>
      <w:pPr>
        <w:tabs>
          <w:tab w:val="num" w:pos="1724"/>
        </w:tabs>
        <w:ind w:left="1724" w:hanging="1440"/>
      </w:pPr>
      <w:rPr>
        <w:rFonts w:cs="Times New Roman" w:hint="default"/>
      </w:rPr>
    </w:lvl>
    <w:lvl w:ilvl="8">
      <w:start w:val="1"/>
      <w:numFmt w:val="decimal"/>
      <w:isLgl/>
      <w:lvlText w:val="%1.%2.%3.%4.%5.%6.%7.%8.%9"/>
      <w:lvlJc w:val="left"/>
      <w:pPr>
        <w:tabs>
          <w:tab w:val="num" w:pos="2084"/>
        </w:tabs>
        <w:ind w:left="2084" w:hanging="1800"/>
      </w:pPr>
      <w:rPr>
        <w:rFonts w:cs="Times New Roman" w:hint="default"/>
      </w:rPr>
    </w:lvl>
  </w:abstractNum>
  <w:abstractNum w:abstractNumId="1" w15:restartNumberingAfterBreak="0">
    <w:nsid w:val="26C04330"/>
    <w:multiLevelType w:val="multilevel"/>
    <w:tmpl w:val="7FA20540"/>
    <w:lvl w:ilvl="0">
      <w:start w:val="1"/>
      <w:numFmt w:val="decimal"/>
      <w:lvlText w:val="%1"/>
      <w:lvlJc w:val="left"/>
      <w:pPr>
        <w:tabs>
          <w:tab w:val="num" w:pos="858"/>
        </w:tabs>
        <w:ind w:left="858" w:hanging="432"/>
      </w:pPr>
      <w:rPr>
        <w:rFonts w:cs="Times New Roman" w:hint="default"/>
        <w:b/>
        <w:bCs w:val="0"/>
      </w:rPr>
    </w:lvl>
    <w:lvl w:ilvl="1">
      <w:start w:val="1"/>
      <w:numFmt w:val="bullet"/>
      <w:lvlText w:val=""/>
      <w:lvlJc w:val="left"/>
      <w:pPr>
        <w:ind w:left="786" w:hanging="360"/>
      </w:pPr>
      <w:rPr>
        <w:rFonts w:ascii="Symbol" w:hAnsi="Symbol" w:hint="default"/>
      </w:rPr>
    </w:lvl>
    <w:lvl w:ilvl="2">
      <w:start w:val="1"/>
      <w:numFmt w:val="decimal"/>
      <w:isLgl/>
      <w:lvlText w:val="(%3)"/>
      <w:lvlJc w:val="left"/>
      <w:pPr>
        <w:tabs>
          <w:tab w:val="num" w:pos="1134"/>
        </w:tabs>
        <w:ind w:left="1134" w:hanging="420"/>
      </w:pPr>
      <w:rPr>
        <w:rFonts w:cs="Times New Roman" w:hint="default"/>
      </w:rPr>
    </w:lvl>
    <w:lvl w:ilvl="3">
      <w:start w:val="1"/>
      <w:numFmt w:val="lowerLetter"/>
      <w:lvlText w:val="%4)"/>
      <w:lvlJc w:val="left"/>
      <w:pPr>
        <w:tabs>
          <w:tab w:val="num" w:pos="6456"/>
        </w:tabs>
        <w:ind w:left="6453" w:hanging="357"/>
      </w:pPr>
      <w:rPr>
        <w:rFonts w:cs="Times New Roman" w:hint="default"/>
      </w:rPr>
    </w:lvl>
    <w:lvl w:ilvl="4">
      <w:start w:val="1"/>
      <w:numFmt w:val="decimal"/>
      <w:isLgl/>
      <w:lvlText w:val="%1.%2.%3.%4.%5"/>
      <w:lvlJc w:val="left"/>
      <w:pPr>
        <w:tabs>
          <w:tab w:val="num" w:pos="1364"/>
        </w:tabs>
        <w:ind w:left="1364" w:hanging="1080"/>
      </w:pPr>
      <w:rPr>
        <w:rFonts w:cs="Times New Roman" w:hint="default"/>
      </w:rPr>
    </w:lvl>
    <w:lvl w:ilvl="5">
      <w:start w:val="1"/>
      <w:numFmt w:val="decimal"/>
      <w:isLgl/>
      <w:lvlText w:val="%1.%2.%3.%4.%5.%6"/>
      <w:lvlJc w:val="left"/>
      <w:pPr>
        <w:tabs>
          <w:tab w:val="num" w:pos="1364"/>
        </w:tabs>
        <w:ind w:left="1364" w:hanging="1080"/>
      </w:pPr>
      <w:rPr>
        <w:rFonts w:cs="Times New Roman" w:hint="default"/>
      </w:rPr>
    </w:lvl>
    <w:lvl w:ilvl="6">
      <w:start w:val="1"/>
      <w:numFmt w:val="decimal"/>
      <w:isLgl/>
      <w:lvlText w:val="%1.%2.%3.%4.%5.%6.%7"/>
      <w:lvlJc w:val="left"/>
      <w:pPr>
        <w:tabs>
          <w:tab w:val="num" w:pos="1724"/>
        </w:tabs>
        <w:ind w:left="1724" w:hanging="1440"/>
      </w:pPr>
      <w:rPr>
        <w:rFonts w:cs="Times New Roman" w:hint="default"/>
      </w:rPr>
    </w:lvl>
    <w:lvl w:ilvl="7">
      <w:start w:val="1"/>
      <w:numFmt w:val="decimal"/>
      <w:isLgl/>
      <w:lvlText w:val="%1.%2.%3.%4.%5.%6.%7.%8"/>
      <w:lvlJc w:val="left"/>
      <w:pPr>
        <w:tabs>
          <w:tab w:val="num" w:pos="1724"/>
        </w:tabs>
        <w:ind w:left="1724" w:hanging="1440"/>
      </w:pPr>
      <w:rPr>
        <w:rFonts w:cs="Times New Roman" w:hint="default"/>
      </w:rPr>
    </w:lvl>
    <w:lvl w:ilvl="8">
      <w:start w:val="1"/>
      <w:numFmt w:val="decimal"/>
      <w:isLgl/>
      <w:lvlText w:val="%1.%2.%3.%4.%5.%6.%7.%8.%9"/>
      <w:lvlJc w:val="left"/>
      <w:pPr>
        <w:tabs>
          <w:tab w:val="num" w:pos="2084"/>
        </w:tabs>
        <w:ind w:left="2084" w:hanging="1800"/>
      </w:pPr>
      <w:rPr>
        <w:rFonts w:cs="Times New Roman" w:hint="default"/>
      </w:rPr>
    </w:lvl>
  </w:abstractNum>
  <w:abstractNum w:abstractNumId="2" w15:restartNumberingAfterBreak="0">
    <w:nsid w:val="2E680DE1"/>
    <w:multiLevelType w:val="multilevel"/>
    <w:tmpl w:val="7FA20540"/>
    <w:lvl w:ilvl="0">
      <w:start w:val="1"/>
      <w:numFmt w:val="decimal"/>
      <w:lvlText w:val="%1"/>
      <w:lvlJc w:val="left"/>
      <w:pPr>
        <w:tabs>
          <w:tab w:val="num" w:pos="858"/>
        </w:tabs>
        <w:ind w:left="858" w:hanging="432"/>
      </w:pPr>
      <w:rPr>
        <w:rFonts w:cs="Times New Roman" w:hint="default"/>
        <w:b/>
        <w:bCs w:val="0"/>
      </w:rPr>
    </w:lvl>
    <w:lvl w:ilvl="1">
      <w:start w:val="1"/>
      <w:numFmt w:val="bullet"/>
      <w:lvlText w:val=""/>
      <w:lvlJc w:val="left"/>
      <w:pPr>
        <w:ind w:left="786" w:hanging="360"/>
      </w:pPr>
      <w:rPr>
        <w:rFonts w:ascii="Symbol" w:hAnsi="Symbol" w:hint="default"/>
      </w:rPr>
    </w:lvl>
    <w:lvl w:ilvl="2">
      <w:start w:val="1"/>
      <w:numFmt w:val="decimal"/>
      <w:isLgl/>
      <w:lvlText w:val="(%3)"/>
      <w:lvlJc w:val="left"/>
      <w:pPr>
        <w:tabs>
          <w:tab w:val="num" w:pos="1134"/>
        </w:tabs>
        <w:ind w:left="1134" w:hanging="420"/>
      </w:pPr>
      <w:rPr>
        <w:rFonts w:cs="Times New Roman" w:hint="default"/>
      </w:rPr>
    </w:lvl>
    <w:lvl w:ilvl="3">
      <w:start w:val="1"/>
      <w:numFmt w:val="lowerLetter"/>
      <w:lvlText w:val="%4)"/>
      <w:lvlJc w:val="left"/>
      <w:pPr>
        <w:tabs>
          <w:tab w:val="num" w:pos="6456"/>
        </w:tabs>
        <w:ind w:left="6453" w:hanging="357"/>
      </w:pPr>
      <w:rPr>
        <w:rFonts w:cs="Times New Roman" w:hint="default"/>
      </w:rPr>
    </w:lvl>
    <w:lvl w:ilvl="4">
      <w:start w:val="1"/>
      <w:numFmt w:val="decimal"/>
      <w:isLgl/>
      <w:lvlText w:val="%1.%2.%3.%4.%5"/>
      <w:lvlJc w:val="left"/>
      <w:pPr>
        <w:tabs>
          <w:tab w:val="num" w:pos="1364"/>
        </w:tabs>
        <w:ind w:left="1364" w:hanging="1080"/>
      </w:pPr>
      <w:rPr>
        <w:rFonts w:cs="Times New Roman" w:hint="default"/>
      </w:rPr>
    </w:lvl>
    <w:lvl w:ilvl="5">
      <w:start w:val="1"/>
      <w:numFmt w:val="decimal"/>
      <w:isLgl/>
      <w:lvlText w:val="%1.%2.%3.%4.%5.%6"/>
      <w:lvlJc w:val="left"/>
      <w:pPr>
        <w:tabs>
          <w:tab w:val="num" w:pos="1364"/>
        </w:tabs>
        <w:ind w:left="1364" w:hanging="1080"/>
      </w:pPr>
      <w:rPr>
        <w:rFonts w:cs="Times New Roman" w:hint="default"/>
      </w:rPr>
    </w:lvl>
    <w:lvl w:ilvl="6">
      <w:start w:val="1"/>
      <w:numFmt w:val="decimal"/>
      <w:isLgl/>
      <w:lvlText w:val="%1.%2.%3.%4.%5.%6.%7"/>
      <w:lvlJc w:val="left"/>
      <w:pPr>
        <w:tabs>
          <w:tab w:val="num" w:pos="1724"/>
        </w:tabs>
        <w:ind w:left="1724" w:hanging="1440"/>
      </w:pPr>
      <w:rPr>
        <w:rFonts w:cs="Times New Roman" w:hint="default"/>
      </w:rPr>
    </w:lvl>
    <w:lvl w:ilvl="7">
      <w:start w:val="1"/>
      <w:numFmt w:val="decimal"/>
      <w:isLgl/>
      <w:lvlText w:val="%1.%2.%3.%4.%5.%6.%7.%8"/>
      <w:lvlJc w:val="left"/>
      <w:pPr>
        <w:tabs>
          <w:tab w:val="num" w:pos="1724"/>
        </w:tabs>
        <w:ind w:left="1724" w:hanging="1440"/>
      </w:pPr>
      <w:rPr>
        <w:rFonts w:cs="Times New Roman" w:hint="default"/>
      </w:rPr>
    </w:lvl>
    <w:lvl w:ilvl="8">
      <w:start w:val="1"/>
      <w:numFmt w:val="decimal"/>
      <w:isLgl/>
      <w:lvlText w:val="%1.%2.%3.%4.%5.%6.%7.%8.%9"/>
      <w:lvlJc w:val="left"/>
      <w:pPr>
        <w:tabs>
          <w:tab w:val="num" w:pos="2084"/>
        </w:tabs>
        <w:ind w:left="2084" w:hanging="1800"/>
      </w:pPr>
      <w:rPr>
        <w:rFonts w:cs="Times New Roman" w:hint="default"/>
      </w:rPr>
    </w:lvl>
  </w:abstractNum>
  <w:abstractNum w:abstractNumId="3" w15:restartNumberingAfterBreak="0">
    <w:nsid w:val="47F70505"/>
    <w:multiLevelType w:val="multilevel"/>
    <w:tmpl w:val="7FA20540"/>
    <w:lvl w:ilvl="0">
      <w:start w:val="1"/>
      <w:numFmt w:val="decimal"/>
      <w:lvlText w:val="%1"/>
      <w:lvlJc w:val="left"/>
      <w:pPr>
        <w:tabs>
          <w:tab w:val="num" w:pos="858"/>
        </w:tabs>
        <w:ind w:left="858" w:hanging="432"/>
      </w:pPr>
      <w:rPr>
        <w:rFonts w:cs="Times New Roman" w:hint="default"/>
        <w:b/>
        <w:bCs w:val="0"/>
      </w:rPr>
    </w:lvl>
    <w:lvl w:ilvl="1">
      <w:start w:val="1"/>
      <w:numFmt w:val="bullet"/>
      <w:lvlText w:val=""/>
      <w:lvlJc w:val="left"/>
      <w:pPr>
        <w:ind w:left="786" w:hanging="360"/>
      </w:pPr>
      <w:rPr>
        <w:rFonts w:ascii="Symbol" w:hAnsi="Symbol" w:hint="default"/>
      </w:rPr>
    </w:lvl>
    <w:lvl w:ilvl="2">
      <w:start w:val="1"/>
      <w:numFmt w:val="decimal"/>
      <w:isLgl/>
      <w:lvlText w:val="(%3)"/>
      <w:lvlJc w:val="left"/>
      <w:pPr>
        <w:tabs>
          <w:tab w:val="num" w:pos="1134"/>
        </w:tabs>
        <w:ind w:left="1134" w:hanging="420"/>
      </w:pPr>
      <w:rPr>
        <w:rFonts w:cs="Times New Roman" w:hint="default"/>
      </w:rPr>
    </w:lvl>
    <w:lvl w:ilvl="3">
      <w:start w:val="1"/>
      <w:numFmt w:val="lowerLetter"/>
      <w:lvlText w:val="%4)"/>
      <w:lvlJc w:val="left"/>
      <w:pPr>
        <w:tabs>
          <w:tab w:val="num" w:pos="6456"/>
        </w:tabs>
        <w:ind w:left="6453" w:hanging="357"/>
      </w:pPr>
      <w:rPr>
        <w:rFonts w:cs="Times New Roman" w:hint="default"/>
      </w:rPr>
    </w:lvl>
    <w:lvl w:ilvl="4">
      <w:start w:val="1"/>
      <w:numFmt w:val="decimal"/>
      <w:isLgl/>
      <w:lvlText w:val="%1.%2.%3.%4.%5"/>
      <w:lvlJc w:val="left"/>
      <w:pPr>
        <w:tabs>
          <w:tab w:val="num" w:pos="1364"/>
        </w:tabs>
        <w:ind w:left="1364" w:hanging="1080"/>
      </w:pPr>
      <w:rPr>
        <w:rFonts w:cs="Times New Roman" w:hint="default"/>
      </w:rPr>
    </w:lvl>
    <w:lvl w:ilvl="5">
      <w:start w:val="1"/>
      <w:numFmt w:val="decimal"/>
      <w:isLgl/>
      <w:lvlText w:val="%1.%2.%3.%4.%5.%6"/>
      <w:lvlJc w:val="left"/>
      <w:pPr>
        <w:tabs>
          <w:tab w:val="num" w:pos="1364"/>
        </w:tabs>
        <w:ind w:left="1364" w:hanging="1080"/>
      </w:pPr>
      <w:rPr>
        <w:rFonts w:cs="Times New Roman" w:hint="default"/>
      </w:rPr>
    </w:lvl>
    <w:lvl w:ilvl="6">
      <w:start w:val="1"/>
      <w:numFmt w:val="decimal"/>
      <w:isLgl/>
      <w:lvlText w:val="%1.%2.%3.%4.%5.%6.%7"/>
      <w:lvlJc w:val="left"/>
      <w:pPr>
        <w:tabs>
          <w:tab w:val="num" w:pos="1724"/>
        </w:tabs>
        <w:ind w:left="1724" w:hanging="1440"/>
      </w:pPr>
      <w:rPr>
        <w:rFonts w:cs="Times New Roman" w:hint="default"/>
      </w:rPr>
    </w:lvl>
    <w:lvl w:ilvl="7">
      <w:start w:val="1"/>
      <w:numFmt w:val="decimal"/>
      <w:isLgl/>
      <w:lvlText w:val="%1.%2.%3.%4.%5.%6.%7.%8"/>
      <w:lvlJc w:val="left"/>
      <w:pPr>
        <w:tabs>
          <w:tab w:val="num" w:pos="1724"/>
        </w:tabs>
        <w:ind w:left="1724" w:hanging="1440"/>
      </w:pPr>
      <w:rPr>
        <w:rFonts w:cs="Times New Roman" w:hint="default"/>
      </w:rPr>
    </w:lvl>
    <w:lvl w:ilvl="8">
      <w:start w:val="1"/>
      <w:numFmt w:val="decimal"/>
      <w:isLgl/>
      <w:lvlText w:val="%1.%2.%3.%4.%5.%6.%7.%8.%9"/>
      <w:lvlJc w:val="left"/>
      <w:pPr>
        <w:tabs>
          <w:tab w:val="num" w:pos="2084"/>
        </w:tabs>
        <w:ind w:left="2084" w:hanging="1800"/>
      </w:pPr>
      <w:rPr>
        <w:rFonts w:cs="Times New Roman" w:hint="default"/>
      </w:rPr>
    </w:lvl>
  </w:abstractNum>
  <w:abstractNum w:abstractNumId="4" w15:restartNumberingAfterBreak="0">
    <w:nsid w:val="5CC37D3C"/>
    <w:multiLevelType w:val="multilevel"/>
    <w:tmpl w:val="424CEFB0"/>
    <w:lvl w:ilvl="0">
      <w:start w:val="1"/>
      <w:numFmt w:val="decimal"/>
      <w:pStyle w:val="ReportHeading"/>
      <w:lvlText w:val="%1"/>
      <w:lvlJc w:val="left"/>
      <w:pPr>
        <w:tabs>
          <w:tab w:val="num" w:pos="858"/>
        </w:tabs>
        <w:ind w:left="858" w:hanging="432"/>
      </w:pPr>
      <w:rPr>
        <w:rFonts w:cs="Times New Roman" w:hint="default"/>
        <w:b/>
        <w:bCs w:val="0"/>
      </w:rPr>
    </w:lvl>
    <w:lvl w:ilvl="1">
      <w:start w:val="1"/>
      <w:numFmt w:val="decimal"/>
      <w:pStyle w:val="Para-1stLevel"/>
      <w:isLgl/>
      <w:lvlText w:val="%1.%2"/>
      <w:lvlJc w:val="left"/>
      <w:pPr>
        <w:tabs>
          <w:tab w:val="num" w:pos="858"/>
        </w:tabs>
        <w:ind w:left="858" w:hanging="432"/>
      </w:pPr>
      <w:rPr>
        <w:rFonts w:cs="Times New Roman" w:hint="default"/>
      </w:rPr>
    </w:lvl>
    <w:lvl w:ilvl="2">
      <w:start w:val="1"/>
      <w:numFmt w:val="decimal"/>
      <w:pStyle w:val="Para-2ndlevel"/>
      <w:isLgl/>
      <w:lvlText w:val="(%3)"/>
      <w:lvlJc w:val="left"/>
      <w:pPr>
        <w:tabs>
          <w:tab w:val="num" w:pos="1134"/>
        </w:tabs>
        <w:ind w:left="1134" w:hanging="420"/>
      </w:pPr>
      <w:rPr>
        <w:rFonts w:cs="Times New Roman" w:hint="default"/>
      </w:rPr>
    </w:lvl>
    <w:lvl w:ilvl="3">
      <w:start w:val="1"/>
      <w:numFmt w:val="lowerLetter"/>
      <w:pStyle w:val="Para-3rdlevel"/>
      <w:lvlText w:val="%4)"/>
      <w:lvlJc w:val="left"/>
      <w:pPr>
        <w:tabs>
          <w:tab w:val="num" w:pos="6456"/>
        </w:tabs>
        <w:ind w:left="6453" w:hanging="357"/>
      </w:pPr>
      <w:rPr>
        <w:rFonts w:cs="Times New Roman" w:hint="default"/>
      </w:rPr>
    </w:lvl>
    <w:lvl w:ilvl="4">
      <w:start w:val="1"/>
      <w:numFmt w:val="decimal"/>
      <w:isLgl/>
      <w:lvlText w:val="%1.%2.%3.%4.%5"/>
      <w:lvlJc w:val="left"/>
      <w:pPr>
        <w:tabs>
          <w:tab w:val="num" w:pos="1364"/>
        </w:tabs>
        <w:ind w:left="1364" w:hanging="1080"/>
      </w:pPr>
      <w:rPr>
        <w:rFonts w:cs="Times New Roman" w:hint="default"/>
      </w:rPr>
    </w:lvl>
    <w:lvl w:ilvl="5">
      <w:start w:val="1"/>
      <w:numFmt w:val="decimal"/>
      <w:isLgl/>
      <w:lvlText w:val="%1.%2.%3.%4.%5.%6"/>
      <w:lvlJc w:val="left"/>
      <w:pPr>
        <w:tabs>
          <w:tab w:val="num" w:pos="1364"/>
        </w:tabs>
        <w:ind w:left="1364" w:hanging="1080"/>
      </w:pPr>
      <w:rPr>
        <w:rFonts w:cs="Times New Roman" w:hint="default"/>
      </w:rPr>
    </w:lvl>
    <w:lvl w:ilvl="6">
      <w:start w:val="1"/>
      <w:numFmt w:val="decimal"/>
      <w:isLgl/>
      <w:lvlText w:val="%1.%2.%3.%4.%5.%6.%7"/>
      <w:lvlJc w:val="left"/>
      <w:pPr>
        <w:tabs>
          <w:tab w:val="num" w:pos="1724"/>
        </w:tabs>
        <w:ind w:left="1724" w:hanging="1440"/>
      </w:pPr>
      <w:rPr>
        <w:rFonts w:cs="Times New Roman" w:hint="default"/>
      </w:rPr>
    </w:lvl>
    <w:lvl w:ilvl="7">
      <w:start w:val="1"/>
      <w:numFmt w:val="decimal"/>
      <w:isLgl/>
      <w:lvlText w:val="%1.%2.%3.%4.%5.%6.%7.%8"/>
      <w:lvlJc w:val="left"/>
      <w:pPr>
        <w:tabs>
          <w:tab w:val="num" w:pos="1724"/>
        </w:tabs>
        <w:ind w:left="1724" w:hanging="1440"/>
      </w:pPr>
      <w:rPr>
        <w:rFonts w:cs="Times New Roman" w:hint="default"/>
      </w:rPr>
    </w:lvl>
    <w:lvl w:ilvl="8">
      <w:start w:val="1"/>
      <w:numFmt w:val="decimal"/>
      <w:isLgl/>
      <w:lvlText w:val="%1.%2.%3.%4.%5.%6.%7.%8.%9"/>
      <w:lvlJc w:val="left"/>
      <w:pPr>
        <w:tabs>
          <w:tab w:val="num" w:pos="2084"/>
        </w:tabs>
        <w:ind w:left="2084" w:hanging="1800"/>
      </w:pPr>
      <w:rPr>
        <w:rFonts w:cs="Times New Roman" w:hint="default"/>
      </w:rPr>
    </w:lvl>
  </w:abstractNum>
  <w:abstractNum w:abstractNumId="5" w15:restartNumberingAfterBreak="0">
    <w:nsid w:val="787E4B7D"/>
    <w:multiLevelType w:val="hybridMultilevel"/>
    <w:tmpl w:val="92D09E7C"/>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6" w15:restartNumberingAfterBreak="0">
    <w:nsid w:val="7EE86B14"/>
    <w:multiLevelType w:val="multilevel"/>
    <w:tmpl w:val="C37ACB58"/>
    <w:lvl w:ilvl="0">
      <w:start w:val="1"/>
      <w:numFmt w:val="bullet"/>
      <w:lvlText w:val=""/>
      <w:lvlJc w:val="left"/>
      <w:pPr>
        <w:tabs>
          <w:tab w:val="num" w:pos="858"/>
        </w:tabs>
        <w:ind w:left="858" w:hanging="432"/>
      </w:pPr>
      <w:rPr>
        <w:rFonts w:ascii="Symbol" w:hAnsi="Symbol" w:hint="default"/>
        <w:b/>
        <w:bCs w:val="0"/>
      </w:rPr>
    </w:lvl>
    <w:lvl w:ilvl="1">
      <w:start w:val="1"/>
      <w:numFmt w:val="bullet"/>
      <w:lvlText w:val=""/>
      <w:lvlJc w:val="left"/>
      <w:pPr>
        <w:ind w:left="786" w:hanging="360"/>
      </w:pPr>
      <w:rPr>
        <w:rFonts w:ascii="Symbol" w:hAnsi="Symbol" w:hint="default"/>
      </w:rPr>
    </w:lvl>
    <w:lvl w:ilvl="2">
      <w:start w:val="1"/>
      <w:numFmt w:val="decimal"/>
      <w:isLgl/>
      <w:lvlText w:val="(%3)"/>
      <w:lvlJc w:val="left"/>
      <w:pPr>
        <w:tabs>
          <w:tab w:val="num" w:pos="1134"/>
        </w:tabs>
        <w:ind w:left="1134" w:hanging="420"/>
      </w:pPr>
      <w:rPr>
        <w:rFonts w:cs="Times New Roman" w:hint="default"/>
      </w:rPr>
    </w:lvl>
    <w:lvl w:ilvl="3">
      <w:start w:val="1"/>
      <w:numFmt w:val="lowerLetter"/>
      <w:lvlText w:val="%4)"/>
      <w:lvlJc w:val="left"/>
      <w:pPr>
        <w:tabs>
          <w:tab w:val="num" w:pos="6456"/>
        </w:tabs>
        <w:ind w:left="6453" w:hanging="357"/>
      </w:pPr>
      <w:rPr>
        <w:rFonts w:cs="Times New Roman" w:hint="default"/>
      </w:rPr>
    </w:lvl>
    <w:lvl w:ilvl="4">
      <w:start w:val="1"/>
      <w:numFmt w:val="decimal"/>
      <w:isLgl/>
      <w:lvlText w:val="%1.%2.%3.%4.%5"/>
      <w:lvlJc w:val="left"/>
      <w:pPr>
        <w:tabs>
          <w:tab w:val="num" w:pos="1364"/>
        </w:tabs>
        <w:ind w:left="1364" w:hanging="1080"/>
      </w:pPr>
      <w:rPr>
        <w:rFonts w:cs="Times New Roman" w:hint="default"/>
      </w:rPr>
    </w:lvl>
    <w:lvl w:ilvl="5">
      <w:start w:val="1"/>
      <w:numFmt w:val="decimal"/>
      <w:isLgl/>
      <w:lvlText w:val="%1.%2.%3.%4.%5.%6"/>
      <w:lvlJc w:val="left"/>
      <w:pPr>
        <w:tabs>
          <w:tab w:val="num" w:pos="1364"/>
        </w:tabs>
        <w:ind w:left="1364" w:hanging="1080"/>
      </w:pPr>
      <w:rPr>
        <w:rFonts w:cs="Times New Roman" w:hint="default"/>
      </w:rPr>
    </w:lvl>
    <w:lvl w:ilvl="6">
      <w:start w:val="1"/>
      <w:numFmt w:val="decimal"/>
      <w:isLgl/>
      <w:lvlText w:val="%1.%2.%3.%4.%5.%6.%7"/>
      <w:lvlJc w:val="left"/>
      <w:pPr>
        <w:tabs>
          <w:tab w:val="num" w:pos="1724"/>
        </w:tabs>
        <w:ind w:left="1724" w:hanging="1440"/>
      </w:pPr>
      <w:rPr>
        <w:rFonts w:cs="Times New Roman" w:hint="default"/>
      </w:rPr>
    </w:lvl>
    <w:lvl w:ilvl="7">
      <w:start w:val="1"/>
      <w:numFmt w:val="decimal"/>
      <w:isLgl/>
      <w:lvlText w:val="%1.%2.%3.%4.%5.%6.%7.%8"/>
      <w:lvlJc w:val="left"/>
      <w:pPr>
        <w:tabs>
          <w:tab w:val="num" w:pos="1724"/>
        </w:tabs>
        <w:ind w:left="1724" w:hanging="1440"/>
      </w:pPr>
      <w:rPr>
        <w:rFonts w:cs="Times New Roman" w:hint="default"/>
      </w:rPr>
    </w:lvl>
    <w:lvl w:ilvl="8">
      <w:start w:val="1"/>
      <w:numFmt w:val="decimal"/>
      <w:isLgl/>
      <w:lvlText w:val="%1.%2.%3.%4.%5.%6.%7.%8.%9"/>
      <w:lvlJc w:val="left"/>
      <w:pPr>
        <w:tabs>
          <w:tab w:val="num" w:pos="2084"/>
        </w:tabs>
        <w:ind w:left="2084" w:hanging="1800"/>
      </w:pPr>
      <w:rPr>
        <w:rFonts w:cs="Times New Roman" w:hint="default"/>
      </w:rPr>
    </w:lvl>
  </w:abstractNum>
  <w:num w:numId="1" w16cid:durableId="1565141095">
    <w:abstractNumId w:val="4"/>
  </w:num>
  <w:num w:numId="2" w16cid:durableId="1222788425">
    <w:abstractNumId w:val="3"/>
  </w:num>
  <w:num w:numId="3" w16cid:durableId="1420054013">
    <w:abstractNumId w:val="1"/>
  </w:num>
  <w:num w:numId="4" w16cid:durableId="1744912092">
    <w:abstractNumId w:val="2"/>
  </w:num>
  <w:num w:numId="5" w16cid:durableId="347487963">
    <w:abstractNumId w:val="0"/>
  </w:num>
  <w:num w:numId="6" w16cid:durableId="1485780518">
    <w:abstractNumId w:val="6"/>
  </w:num>
  <w:num w:numId="7" w16cid:durableId="384303730">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F51"/>
    <w:rsid w:val="00030ECE"/>
    <w:rsid w:val="00036913"/>
    <w:rsid w:val="00095533"/>
    <w:rsid w:val="00155AF5"/>
    <w:rsid w:val="0016267B"/>
    <w:rsid w:val="00171CF7"/>
    <w:rsid w:val="00176D05"/>
    <w:rsid w:val="00186428"/>
    <w:rsid w:val="00193D8A"/>
    <w:rsid w:val="001E308F"/>
    <w:rsid w:val="001F62F8"/>
    <w:rsid w:val="001F6861"/>
    <w:rsid w:val="001F6F51"/>
    <w:rsid w:val="002158C6"/>
    <w:rsid w:val="00220B15"/>
    <w:rsid w:val="00292DC4"/>
    <w:rsid w:val="002D631E"/>
    <w:rsid w:val="002E1638"/>
    <w:rsid w:val="00310EAC"/>
    <w:rsid w:val="00345B07"/>
    <w:rsid w:val="00347A86"/>
    <w:rsid w:val="00352287"/>
    <w:rsid w:val="003962AC"/>
    <w:rsid w:val="003A4263"/>
    <w:rsid w:val="003E29AC"/>
    <w:rsid w:val="003E2A7C"/>
    <w:rsid w:val="00411C96"/>
    <w:rsid w:val="00426BF2"/>
    <w:rsid w:val="00453A0D"/>
    <w:rsid w:val="00457BFA"/>
    <w:rsid w:val="004746E1"/>
    <w:rsid w:val="004A26D6"/>
    <w:rsid w:val="004B31C6"/>
    <w:rsid w:val="00500F82"/>
    <w:rsid w:val="00510E4E"/>
    <w:rsid w:val="00545728"/>
    <w:rsid w:val="005B3309"/>
    <w:rsid w:val="0062034F"/>
    <w:rsid w:val="00631B69"/>
    <w:rsid w:val="00631F71"/>
    <w:rsid w:val="0066668A"/>
    <w:rsid w:val="0067639A"/>
    <w:rsid w:val="00681A47"/>
    <w:rsid w:val="006D34A0"/>
    <w:rsid w:val="006D5F4D"/>
    <w:rsid w:val="006D79B7"/>
    <w:rsid w:val="006E536D"/>
    <w:rsid w:val="006F0563"/>
    <w:rsid w:val="00747C10"/>
    <w:rsid w:val="00755053"/>
    <w:rsid w:val="00793ECF"/>
    <w:rsid w:val="00797DD7"/>
    <w:rsid w:val="007F177E"/>
    <w:rsid w:val="00833538"/>
    <w:rsid w:val="00836E2A"/>
    <w:rsid w:val="00847CCF"/>
    <w:rsid w:val="0086211A"/>
    <w:rsid w:val="008A0828"/>
    <w:rsid w:val="008E4B0B"/>
    <w:rsid w:val="00910D05"/>
    <w:rsid w:val="00917025"/>
    <w:rsid w:val="00927FCD"/>
    <w:rsid w:val="009358B4"/>
    <w:rsid w:val="00965F38"/>
    <w:rsid w:val="00972F4A"/>
    <w:rsid w:val="009A5EFF"/>
    <w:rsid w:val="009A6C2A"/>
    <w:rsid w:val="009B604D"/>
    <w:rsid w:val="009C1DBB"/>
    <w:rsid w:val="00A0180B"/>
    <w:rsid w:val="00A266F3"/>
    <w:rsid w:val="00A47DAA"/>
    <w:rsid w:val="00A51C1E"/>
    <w:rsid w:val="00AA4CE1"/>
    <w:rsid w:val="00B01063"/>
    <w:rsid w:val="00B24D1D"/>
    <w:rsid w:val="00B473D8"/>
    <w:rsid w:val="00B94184"/>
    <w:rsid w:val="00B94D83"/>
    <w:rsid w:val="00BA0475"/>
    <w:rsid w:val="00C347FA"/>
    <w:rsid w:val="00C35FCE"/>
    <w:rsid w:val="00C44770"/>
    <w:rsid w:val="00C5196D"/>
    <w:rsid w:val="00C549A5"/>
    <w:rsid w:val="00C60A0D"/>
    <w:rsid w:val="00C60EC3"/>
    <w:rsid w:val="00C9434C"/>
    <w:rsid w:val="00CC0826"/>
    <w:rsid w:val="00CE09BB"/>
    <w:rsid w:val="00CF5926"/>
    <w:rsid w:val="00D32064"/>
    <w:rsid w:val="00D437AF"/>
    <w:rsid w:val="00DE6B29"/>
    <w:rsid w:val="00DF0866"/>
    <w:rsid w:val="00E835D1"/>
    <w:rsid w:val="00E90521"/>
    <w:rsid w:val="00EC2DF2"/>
    <w:rsid w:val="00EE5637"/>
    <w:rsid w:val="00EF359B"/>
    <w:rsid w:val="00F365CE"/>
    <w:rsid w:val="00F637F9"/>
    <w:rsid w:val="00F74783"/>
    <w:rsid w:val="00F803DE"/>
    <w:rsid w:val="00F8097E"/>
    <w:rsid w:val="00F81E2B"/>
    <w:rsid w:val="00F92DD0"/>
    <w:rsid w:val="00F937D2"/>
    <w:rsid w:val="00FA6C63"/>
    <w:rsid w:val="00FF0A91"/>
    <w:rsid w:val="0EBDD3BD"/>
    <w:rsid w:val="2D8D3A2D"/>
    <w:rsid w:val="6609A212"/>
    <w:rsid w:val="6875807E"/>
    <w:rsid w:val="6D7709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01A07"/>
  <w15:chartTrackingRefBased/>
  <w15:docId w15:val="{938E0BEB-5EB9-4DB0-9317-A3468ABA6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1stLevel">
    <w:name w:val="Para - 1st Level"/>
    <w:basedOn w:val="Normal"/>
    <w:uiPriority w:val="99"/>
    <w:rsid w:val="001F6F51"/>
    <w:pPr>
      <w:numPr>
        <w:ilvl w:val="1"/>
        <w:numId w:val="1"/>
      </w:numPr>
      <w:spacing w:after="240" w:line="240" w:lineRule="auto"/>
      <w:ind w:right="176"/>
    </w:pPr>
    <w:rPr>
      <w:rFonts w:ascii="Arial" w:eastAsia="Times New Roman" w:hAnsi="Arial" w:cs="Arial"/>
      <w:lang w:eastAsia="en-GB"/>
    </w:rPr>
  </w:style>
  <w:style w:type="paragraph" w:customStyle="1" w:styleId="ReportHeading">
    <w:name w:val="Report Heading"/>
    <w:basedOn w:val="Normal"/>
    <w:next w:val="Para-1stLevel"/>
    <w:uiPriority w:val="99"/>
    <w:rsid w:val="001F6F51"/>
    <w:pPr>
      <w:numPr>
        <w:numId w:val="1"/>
      </w:numPr>
      <w:spacing w:after="240" w:line="240" w:lineRule="auto"/>
      <w:ind w:right="170"/>
    </w:pPr>
    <w:rPr>
      <w:rFonts w:ascii="Arial" w:eastAsia="Times New Roman" w:hAnsi="Arial" w:cs="Arial"/>
      <w:b/>
      <w:bCs/>
      <w:caps/>
      <w:lang w:eastAsia="en-GB"/>
    </w:rPr>
  </w:style>
  <w:style w:type="paragraph" w:customStyle="1" w:styleId="Para-2ndlevel">
    <w:name w:val="Para - 2nd level"/>
    <w:basedOn w:val="Para-1stLevel"/>
    <w:uiPriority w:val="99"/>
    <w:rsid w:val="001F6F51"/>
    <w:pPr>
      <w:numPr>
        <w:ilvl w:val="2"/>
      </w:numPr>
    </w:pPr>
  </w:style>
  <w:style w:type="paragraph" w:customStyle="1" w:styleId="Para-3rdlevel">
    <w:name w:val="Para - 3rd level"/>
    <w:basedOn w:val="Para-2ndlevel"/>
    <w:autoRedefine/>
    <w:uiPriority w:val="99"/>
    <w:rsid w:val="001F6F51"/>
    <w:pPr>
      <w:numPr>
        <w:ilvl w:val="3"/>
      </w:numPr>
      <w:ind w:right="0"/>
    </w:pPr>
  </w:style>
  <w:style w:type="character" w:styleId="CommentReference">
    <w:name w:val="annotation reference"/>
    <w:uiPriority w:val="99"/>
    <w:semiHidden/>
    <w:unhideWhenUsed/>
    <w:rsid w:val="001F6F51"/>
    <w:rPr>
      <w:sz w:val="16"/>
      <w:szCs w:val="16"/>
    </w:rPr>
  </w:style>
  <w:style w:type="paragraph" w:styleId="CommentText">
    <w:name w:val="annotation text"/>
    <w:basedOn w:val="Normal"/>
    <w:link w:val="CommentTextChar"/>
    <w:uiPriority w:val="99"/>
    <w:unhideWhenUsed/>
    <w:rsid w:val="001F6F51"/>
    <w:pPr>
      <w:spacing w:after="0" w:line="240" w:lineRule="auto"/>
    </w:pPr>
    <w:rPr>
      <w:rFonts w:ascii="Arial" w:eastAsia="Times New Roman" w:hAnsi="Arial" w:cs="Arial"/>
      <w:sz w:val="20"/>
      <w:szCs w:val="20"/>
      <w:lang w:eastAsia="en-GB"/>
    </w:rPr>
  </w:style>
  <w:style w:type="character" w:customStyle="1" w:styleId="CommentTextChar">
    <w:name w:val="Comment Text Char"/>
    <w:basedOn w:val="DefaultParagraphFont"/>
    <w:link w:val="CommentText"/>
    <w:uiPriority w:val="99"/>
    <w:rsid w:val="001F6F51"/>
    <w:rPr>
      <w:rFonts w:ascii="Arial" w:eastAsia="Times New Roman" w:hAnsi="Arial" w:cs="Arial"/>
      <w:sz w:val="20"/>
      <w:szCs w:val="20"/>
      <w:lang w:eastAsia="en-GB"/>
    </w:rPr>
  </w:style>
  <w:style w:type="paragraph" w:styleId="ListParagraph">
    <w:name w:val="List Paragraph"/>
    <w:aliases w:val="Resume Title,Citation List,List Paragraph bullets,Normal Number - 1st Bullet,Bullet Paragraph,List Paragraph1,Colorful List - Accent 11,F5 List Paragraph,Bullet Points,Dot pt,No Spacing1,List Paragraph Char Char Char,Indicator Text,Bullet"/>
    <w:basedOn w:val="Normal"/>
    <w:link w:val="ListParagraphChar"/>
    <w:uiPriority w:val="34"/>
    <w:qFormat/>
    <w:rsid w:val="00965F38"/>
    <w:pPr>
      <w:spacing w:after="360"/>
      <w:ind w:left="720"/>
      <w:contextualSpacing/>
    </w:pPr>
    <w:rPr>
      <w:rFonts w:ascii="Avenir Next LT Pro Demi" w:hAnsi="Avenir Next LT Pro Demi"/>
    </w:rPr>
  </w:style>
  <w:style w:type="character" w:customStyle="1" w:styleId="ListParagraphChar">
    <w:name w:val="List Paragraph Char"/>
    <w:aliases w:val="Resume Title Char,Citation List Char,List Paragraph bullets Char,Normal Number - 1st Bullet Char,Bullet Paragraph Char,List Paragraph1 Char,Colorful List - Accent 11 Char,F5 List Paragraph Char,Bullet Points Char,Dot pt Char"/>
    <w:link w:val="ListParagraph"/>
    <w:uiPriority w:val="34"/>
    <w:qFormat/>
    <w:locked/>
    <w:rsid w:val="00965F38"/>
    <w:rPr>
      <w:rFonts w:ascii="Avenir Next LT Pro Demi" w:hAnsi="Avenir Next LT Pro Demi"/>
    </w:rPr>
  </w:style>
  <w:style w:type="paragraph" w:customStyle="1" w:styleId="Default">
    <w:name w:val="Default"/>
    <w:rsid w:val="00EE5637"/>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510E4E"/>
    <w:rPr>
      <w:color w:val="0563C1" w:themeColor="hyperlink"/>
      <w:u w:val="single"/>
    </w:rPr>
  </w:style>
  <w:style w:type="character" w:styleId="UnresolvedMention">
    <w:name w:val="Unresolved Mention"/>
    <w:basedOn w:val="DefaultParagraphFont"/>
    <w:uiPriority w:val="99"/>
    <w:semiHidden/>
    <w:unhideWhenUsed/>
    <w:rsid w:val="00510E4E"/>
    <w:rPr>
      <w:color w:val="605E5C"/>
      <w:shd w:val="clear" w:color="auto" w:fill="E1DFDD"/>
    </w:rPr>
  </w:style>
  <w:style w:type="character" w:styleId="FollowedHyperlink">
    <w:name w:val="FollowedHyperlink"/>
    <w:basedOn w:val="DefaultParagraphFont"/>
    <w:uiPriority w:val="99"/>
    <w:semiHidden/>
    <w:unhideWhenUsed/>
    <w:rsid w:val="00972F4A"/>
    <w:rPr>
      <w:color w:val="954F72" w:themeColor="followedHyperlink"/>
      <w:u w:val="single"/>
    </w:rPr>
  </w:style>
  <w:style w:type="paragraph" w:styleId="FootnoteText">
    <w:name w:val="footnote text"/>
    <w:basedOn w:val="Normal"/>
    <w:link w:val="FootnoteTextChar"/>
    <w:semiHidden/>
    <w:rsid w:val="00030EC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030ECE"/>
    <w:rPr>
      <w:rFonts w:ascii="Times New Roman" w:eastAsia="Times New Roman" w:hAnsi="Times New Roman" w:cs="Times New Roman"/>
      <w:sz w:val="20"/>
      <w:szCs w:val="20"/>
    </w:rPr>
  </w:style>
  <w:style w:type="character" w:styleId="FootnoteReference">
    <w:name w:val="footnote reference"/>
    <w:semiHidden/>
    <w:rsid w:val="00030ECE"/>
    <w:rPr>
      <w:vertAlign w:val="superscript"/>
    </w:rPr>
  </w:style>
  <w:style w:type="paragraph" w:styleId="Header">
    <w:name w:val="header"/>
    <w:basedOn w:val="Normal"/>
    <w:link w:val="HeaderChar"/>
    <w:uiPriority w:val="99"/>
    <w:unhideWhenUsed/>
    <w:rsid w:val="006F05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0563"/>
  </w:style>
  <w:style w:type="paragraph" w:styleId="Footer">
    <w:name w:val="footer"/>
    <w:basedOn w:val="Normal"/>
    <w:link w:val="FooterChar"/>
    <w:uiPriority w:val="99"/>
    <w:unhideWhenUsed/>
    <w:rsid w:val="006F05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0563"/>
  </w:style>
  <w:style w:type="character" w:customStyle="1" w:styleId="dynamic">
    <w:name w:val="dynamic"/>
    <w:basedOn w:val="DefaultParagraphFont"/>
    <w:rsid w:val="00A266F3"/>
  </w:style>
  <w:style w:type="paragraph" w:styleId="Revision">
    <w:name w:val="Revision"/>
    <w:hidden/>
    <w:uiPriority w:val="99"/>
    <w:semiHidden/>
    <w:rsid w:val="008E4B0B"/>
    <w:pPr>
      <w:spacing w:after="0" w:line="240" w:lineRule="auto"/>
    </w:pPr>
  </w:style>
  <w:style w:type="paragraph" w:styleId="CommentSubject">
    <w:name w:val="annotation subject"/>
    <w:basedOn w:val="CommentText"/>
    <w:next w:val="CommentText"/>
    <w:link w:val="CommentSubjectChar"/>
    <w:uiPriority w:val="99"/>
    <w:semiHidden/>
    <w:unhideWhenUsed/>
    <w:rsid w:val="008E4B0B"/>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8E4B0B"/>
    <w:rPr>
      <w:rFonts w:ascii="Arial" w:eastAsia="Times New Roman" w:hAnsi="Arial" w:cs="Arial"/>
      <w:b/>
      <w:bCs/>
      <w:sz w:val="20"/>
      <w:szCs w:val="20"/>
      <w:lang w:eastAsia="en-GB"/>
    </w:rPr>
  </w:style>
  <w:style w:type="table" w:styleId="TableGrid">
    <w:name w:val="Table Grid"/>
    <w:basedOn w:val="TableNormal"/>
    <w:uiPriority w:val="39"/>
    <w:rsid w:val="00B010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1208387">
      <w:bodyDiv w:val="1"/>
      <w:marLeft w:val="0"/>
      <w:marRight w:val="0"/>
      <w:marTop w:val="0"/>
      <w:marBottom w:val="0"/>
      <w:divBdr>
        <w:top w:val="none" w:sz="0" w:space="0" w:color="auto"/>
        <w:left w:val="none" w:sz="0" w:space="0" w:color="auto"/>
        <w:bottom w:val="none" w:sz="0" w:space="0" w:color="auto"/>
        <w:right w:val="none" w:sz="0" w:space="0" w:color="auto"/>
      </w:divBdr>
    </w:div>
    <w:div w:id="1354913263">
      <w:bodyDiv w:val="1"/>
      <w:marLeft w:val="0"/>
      <w:marRight w:val="0"/>
      <w:marTop w:val="0"/>
      <w:marBottom w:val="0"/>
      <w:divBdr>
        <w:top w:val="none" w:sz="0" w:space="0" w:color="auto"/>
        <w:left w:val="none" w:sz="0" w:space="0" w:color="auto"/>
        <w:bottom w:val="none" w:sz="0" w:space="0" w:color="auto"/>
        <w:right w:val="none" w:sz="0" w:space="0" w:color="auto"/>
      </w:divBdr>
    </w:div>
    <w:div w:id="1737899588">
      <w:bodyDiv w:val="1"/>
      <w:marLeft w:val="0"/>
      <w:marRight w:val="0"/>
      <w:marTop w:val="0"/>
      <w:marBottom w:val="0"/>
      <w:divBdr>
        <w:top w:val="none" w:sz="0" w:space="0" w:color="auto"/>
        <w:left w:val="none" w:sz="0" w:space="0" w:color="auto"/>
        <w:bottom w:val="none" w:sz="0" w:space="0" w:color="auto"/>
        <w:right w:val="none" w:sz="0" w:space="0" w:color="auto"/>
      </w:divBdr>
    </w:div>
    <w:div w:id="2035617613">
      <w:bodyDiv w:val="1"/>
      <w:marLeft w:val="0"/>
      <w:marRight w:val="0"/>
      <w:marTop w:val="0"/>
      <w:marBottom w:val="0"/>
      <w:divBdr>
        <w:top w:val="none" w:sz="0" w:space="0" w:color="auto"/>
        <w:left w:val="none" w:sz="0" w:space="0" w:color="auto"/>
        <w:bottom w:val="none" w:sz="0" w:space="0" w:color="auto"/>
        <w:right w:val="none" w:sz="0" w:space="0" w:color="auto"/>
      </w:divBdr>
    </w:div>
    <w:div w:id="205580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ice.org.uk/guidance/CG30" TargetMode="External"/><Relationship Id="rId18" Type="http://schemas.openxmlformats.org/officeDocument/2006/relationships/hyperlink" Target="https://www.fsrh.org/education-andtraining/letter-of-competence-intrauterne-techniques-loc-iut/" TargetMode="External"/><Relationship Id="rId26" Type="http://schemas.openxmlformats.org/officeDocument/2006/relationships/hyperlink" Target="https://www.fsrh.org/documents/final-draft-service-standard-for-sexual-reproductive-healthcare/" TargetMode="External"/><Relationship Id="rId39" Type="http://schemas.openxmlformats.org/officeDocument/2006/relationships/hyperlink" Target="https://www.nice.org.uk/guidance/ng60" TargetMode="External"/><Relationship Id="rId21" Type="http://schemas.openxmlformats.org/officeDocument/2006/relationships/hyperlink" Target="https://www.fsrh.org/education-and-training/letter-of-competence-subdermal-implants-loc-sdi/" TargetMode="External"/><Relationship Id="rId34" Type="http://schemas.openxmlformats.org/officeDocument/2006/relationships/hyperlink" Target="https://www.gmc-uk.org/ethical-guidance/ethical-guidance-for-doctors/protecting-children-and-young-people" TargetMode="External"/><Relationship Id="rId42" Type="http://schemas.openxmlformats.org/officeDocument/2006/relationships/hyperlink" Target="https://www.nice.org.uk/guidance/cg30"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Public_Health@bathnes.gov.uk" TargetMode="External"/><Relationship Id="rId29" Type="http://schemas.openxmlformats.org/officeDocument/2006/relationships/hyperlink" Target="https://www.fsrh.org/standards-and-guidance/documents/fsrh-service-standards-for-consultations-june-202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twiggerl\Downloads\ruh-tr.theriversideclinic@nhs.net" TargetMode="External"/><Relationship Id="rId24" Type="http://schemas.openxmlformats.org/officeDocument/2006/relationships/hyperlink" Target="https://www.brook.org.uk/spotting-the-signs-tool/" TargetMode="External"/><Relationship Id="rId32" Type="http://schemas.openxmlformats.org/officeDocument/2006/relationships/hyperlink" Target="https://www.fsrh.org/standards-and-guidance/" TargetMode="External"/><Relationship Id="rId37" Type="http://schemas.openxmlformats.org/officeDocument/2006/relationships/hyperlink" Target="https://www.nice.org.uk/guidance/ph51" TargetMode="External"/><Relationship Id="rId40" Type="http://schemas.openxmlformats.org/officeDocument/2006/relationships/hyperlink" Target="https://www.nice.org.uk/guidance/ph49"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safebanes.com" TargetMode="External"/><Relationship Id="rId23" Type="http://schemas.openxmlformats.org/officeDocument/2006/relationships/hyperlink" Target="mailto:public_health@bathnes.gov.uk" TargetMode="External"/><Relationship Id="rId28" Type="http://schemas.openxmlformats.org/officeDocument/2006/relationships/hyperlink" Target="https://www.fsrh.org/standards-and-guidance/documents/fsrh-service-standards-for-confidentiality-in-srh-services/" TargetMode="External"/><Relationship Id="rId36" Type="http://schemas.openxmlformats.org/officeDocument/2006/relationships/hyperlink" Target="https://www.nice.org.uk/guidance/qs129/chapter/quality-statement-2-emergency-contraception" TargetMode="External"/><Relationship Id="rId10" Type="http://schemas.openxmlformats.org/officeDocument/2006/relationships/endnotes" Target="endnotes.xml"/><Relationship Id="rId19" Type="http://schemas.openxmlformats.org/officeDocument/2006/relationships/hyperlink" Target="https://www.fsrh.org/documents/guidance-for-those-undertaking-or-recertifying-fsrh/" TargetMode="External"/><Relationship Id="rId31" Type="http://schemas.openxmlformats.org/officeDocument/2006/relationships/hyperlink" Target="https://www.fsrh.org/standards-and-guidance/documents/fsrh-service-standards-for-record-keeping-july-2019/"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febanes.com" TargetMode="External"/><Relationship Id="rId22" Type="http://schemas.openxmlformats.org/officeDocument/2006/relationships/hyperlink" Target="https://www.fsrh.org/education-and-training/letter-of-competence-intrauterine-techniques-loc-iut/" TargetMode="External"/><Relationship Id="rId27" Type="http://schemas.openxmlformats.org/officeDocument/2006/relationships/hyperlink" Target="https://www.fsrh.org/documents/ceu-clinical-guidance-emergency-contraception-march-2017/" TargetMode="External"/><Relationship Id="rId30" Type="http://schemas.openxmlformats.org/officeDocument/2006/relationships/hyperlink" Target="https://www.fsrh.org/documents/fsrhqualitystandardcontraceptiveservices/" TargetMode="External"/><Relationship Id="rId35" Type="http://schemas.openxmlformats.org/officeDocument/2006/relationships/hyperlink" Target="https://www.nice.org.uk/guidance/qs129" TargetMode="External"/><Relationship Id="rId43" Type="http://schemas.openxmlformats.org/officeDocument/2006/relationships/hyperlink" Target="https://www.nice.org.uk/guidance/ng88"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fsrh.org/pdfs/UKMEC2009.pdf" TargetMode="External"/><Relationship Id="rId17" Type="http://schemas.openxmlformats.org/officeDocument/2006/relationships/hyperlink" Target="https://www.fsrh.org/education-and-training/letter-of-competence-subdermalimplants-loc-sdi/" TargetMode="External"/><Relationship Id="rId25" Type="http://schemas.openxmlformats.org/officeDocument/2006/relationships/hyperlink" Target="https://www.bashh.org/guidelines" TargetMode="External"/><Relationship Id="rId33" Type="http://schemas.openxmlformats.org/officeDocument/2006/relationships/hyperlink" Target="https://www.gov.uk/government/publications/safeguarding-women-and-girls-at-risk-of-fgm" TargetMode="External"/><Relationship Id="rId38" Type="http://schemas.openxmlformats.org/officeDocument/2006/relationships/hyperlink" Target="https://www.nice.org.uk/guidance/ng55" TargetMode="External"/><Relationship Id="rId46" Type="http://schemas.openxmlformats.org/officeDocument/2006/relationships/fontTable" Target="fontTable.xml"/><Relationship Id="rId20" Type="http://schemas.openxmlformats.org/officeDocument/2006/relationships/hyperlink" Target="https://www.fsrh.org/recertification/recertification-information/" TargetMode="External"/><Relationship Id="rId41" Type="http://schemas.openxmlformats.org/officeDocument/2006/relationships/hyperlink" Target="https://www.nice.org.uk/guidance/ph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1C8AA64AD3FD4DBA6E575EFEF66965" ma:contentTypeVersion="14" ma:contentTypeDescription="Create a new document." ma:contentTypeScope="" ma:versionID="2de3105a442859befe07ec3df2bafca3">
  <xsd:schema xmlns:xsd="http://www.w3.org/2001/XMLSchema" xmlns:xs="http://www.w3.org/2001/XMLSchema" xmlns:p="http://schemas.microsoft.com/office/2006/metadata/properties" xmlns:ns2="443552b0-989f-4ab4-9f99-2a9eedddedfa" xmlns:ns3="f900f38b-a1ba-4d43-978e-3795f24dab94" targetNamespace="http://schemas.microsoft.com/office/2006/metadata/properties" ma:root="true" ma:fieldsID="04696b14068219d1d4ad55ce299cbd21" ns2:_="" ns3:_="">
    <xsd:import namespace="443552b0-989f-4ab4-9f99-2a9eedddedfa"/>
    <xsd:import namespace="f900f38b-a1ba-4d43-978e-3795f24dab9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3552b0-989f-4ab4-9f99-2a9eeddded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912f23b-0dde-4d46-bd58-a37ab3ccfbc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00f38b-a1ba-4d43-978e-3795f24dab9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2b32b0d-ccf0-4b7a-a3f6-8ecc6d43d066}" ma:internalName="TaxCatchAll" ma:showField="CatchAllData" ma:web="f900f38b-a1ba-4d43-978e-3795f24dab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43552b0-989f-4ab4-9f99-2a9eedddedfa">
      <Terms xmlns="http://schemas.microsoft.com/office/infopath/2007/PartnerControls"/>
    </lcf76f155ced4ddcb4097134ff3c332f>
    <TaxCatchAll xmlns="f900f38b-a1ba-4d43-978e-3795f24dab94" xsi:nil="true"/>
  </documentManagement>
</p:properties>
</file>

<file path=customXml/itemProps1.xml><?xml version="1.0" encoding="utf-8"?>
<ds:datastoreItem xmlns:ds="http://schemas.openxmlformats.org/officeDocument/2006/customXml" ds:itemID="{07068A3A-B66B-4C96-9939-F43DD3FABC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3552b0-989f-4ab4-9f99-2a9eedddedfa"/>
    <ds:schemaRef ds:uri="f900f38b-a1ba-4d43-978e-3795f24dab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D06DCD-792F-4D31-849A-9D52682C4BDC}">
  <ds:schemaRefs>
    <ds:schemaRef ds:uri="http://schemas.openxmlformats.org/officeDocument/2006/bibliography"/>
  </ds:schemaRefs>
</ds:datastoreItem>
</file>

<file path=customXml/itemProps3.xml><?xml version="1.0" encoding="utf-8"?>
<ds:datastoreItem xmlns:ds="http://schemas.openxmlformats.org/officeDocument/2006/customXml" ds:itemID="{AE94AFD1-884B-4561-B112-A84D88C0C7DE}">
  <ds:schemaRefs>
    <ds:schemaRef ds:uri="http://schemas.microsoft.com/sharepoint/v3/contenttype/forms"/>
  </ds:schemaRefs>
</ds:datastoreItem>
</file>

<file path=customXml/itemProps4.xml><?xml version="1.0" encoding="utf-8"?>
<ds:datastoreItem xmlns:ds="http://schemas.openxmlformats.org/officeDocument/2006/customXml" ds:itemID="{5DF8D36C-4A01-4A7C-9AF6-A0B36ADB07D5}">
  <ds:schemaRefs>
    <ds:schemaRef ds:uri="http://schemas.microsoft.com/office/2006/metadata/properties"/>
    <ds:schemaRef ds:uri="http://schemas.microsoft.com/office/infopath/2007/PartnerControls"/>
    <ds:schemaRef ds:uri="443552b0-989f-4ab4-9f99-2a9eedddedfa"/>
    <ds:schemaRef ds:uri="f900f38b-a1ba-4d43-978e-3795f24dab9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3729</Words>
  <Characters>21261</Characters>
  <Application>Microsoft Office Word</Application>
  <DocSecurity>0</DocSecurity>
  <Lines>177</Lines>
  <Paragraphs>49</Paragraphs>
  <ScaleCrop>false</ScaleCrop>
  <Company/>
  <LinksUpToDate>false</LinksUpToDate>
  <CharactersWithSpaces>24941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Sheehan</dc:creator>
  <cp:keywords/>
  <dc:description/>
  <cp:lastModifiedBy>Kate Mellersh</cp:lastModifiedBy>
  <cp:revision>2</cp:revision>
  <dcterms:created xsi:type="dcterms:W3CDTF">2025-02-17T15:56:00Z</dcterms:created>
  <dcterms:modified xsi:type="dcterms:W3CDTF">2025-02-17T15:56:00Z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0x0101001E1C8AA64AD3FD4DBA6E575EFEF66965</vt:lpwstr>
  </property>
  <property fmtid="{D5CDD505-2E9C-101B-9397-08002B2CF9AE}" pid="3" name="MediaServiceImageTags">
    <vt:lpwstr/>
  </property>
</Properties>
</file>